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C980" w14:textId="4ECD459E" w:rsidR="00C345DE" w:rsidRPr="004639AD" w:rsidRDefault="009A6A6F" w:rsidP="00F01FDA">
      <w:pPr>
        <w:pStyle w:val="ListParagraph"/>
        <w:jc w:val="center"/>
        <w:rPr>
          <w:rFonts w:ascii="Arial" w:hAnsi="Arial" w:cs="Arial"/>
          <w:b/>
          <w:color w:val="7030A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7030A0"/>
          <w:sz w:val="36"/>
          <w:szCs w:val="36"/>
        </w:rPr>
        <w:t>Wivelsfield School</w:t>
      </w:r>
      <w:r w:rsidR="00F01FDA" w:rsidRPr="004639AD">
        <w:rPr>
          <w:rFonts w:ascii="Arial" w:hAnsi="Arial" w:cs="Arial"/>
          <w:b/>
          <w:color w:val="7030A0"/>
          <w:sz w:val="36"/>
          <w:szCs w:val="36"/>
        </w:rPr>
        <w:t xml:space="preserve"> </w:t>
      </w:r>
    </w:p>
    <w:p w14:paraId="71161A06" w14:textId="521AABF4" w:rsidR="00245118" w:rsidRDefault="007004E7" w:rsidP="00900639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4639AD">
        <w:rPr>
          <w:rFonts w:ascii="Arial" w:hAnsi="Arial" w:cs="Arial"/>
          <w:b/>
          <w:color w:val="7030A0"/>
          <w:sz w:val="36"/>
          <w:szCs w:val="36"/>
        </w:rPr>
        <w:t xml:space="preserve">Prevent Risk Assessment </w:t>
      </w:r>
      <w:r w:rsidR="00900639">
        <w:rPr>
          <w:rFonts w:ascii="Arial" w:hAnsi="Arial" w:cs="Arial"/>
          <w:b/>
          <w:color w:val="7030A0"/>
          <w:sz w:val="36"/>
          <w:szCs w:val="36"/>
        </w:rPr>
        <w:t>October 2024</w:t>
      </w:r>
    </w:p>
    <w:p w14:paraId="77F138FC" w14:textId="77777777" w:rsidR="00F01FDA" w:rsidRDefault="00F01FDA" w:rsidP="00F01FDA">
      <w:pPr>
        <w:rPr>
          <w:rFonts w:ascii="Arial" w:hAnsi="Arial" w:cs="Arial"/>
          <w:sz w:val="24"/>
          <w:szCs w:val="24"/>
        </w:rPr>
      </w:pPr>
      <w:r w:rsidRPr="00032236">
        <w:rPr>
          <w:rFonts w:ascii="Arial" w:hAnsi="Arial" w:cs="Arial"/>
          <w:sz w:val="24"/>
          <w:szCs w:val="24"/>
        </w:rPr>
        <w:t>Under the Prevent Duty</w:t>
      </w:r>
      <w:r w:rsidR="00D64F42">
        <w:rPr>
          <w:rFonts w:ascii="Arial" w:hAnsi="Arial" w:cs="Arial"/>
          <w:sz w:val="24"/>
          <w:szCs w:val="24"/>
        </w:rPr>
        <w:t>,</w:t>
      </w:r>
      <w:r w:rsidRPr="00032236">
        <w:rPr>
          <w:rFonts w:ascii="Arial" w:hAnsi="Arial" w:cs="Arial"/>
          <w:sz w:val="24"/>
          <w:szCs w:val="24"/>
        </w:rPr>
        <w:t xml:space="preserve"> </w:t>
      </w:r>
      <w:r w:rsidR="0010289C">
        <w:rPr>
          <w:rFonts w:ascii="Arial" w:hAnsi="Arial" w:cs="Arial"/>
          <w:sz w:val="24"/>
          <w:szCs w:val="24"/>
        </w:rPr>
        <w:t>schools</w:t>
      </w:r>
      <w:r w:rsidRPr="00032236">
        <w:rPr>
          <w:rFonts w:ascii="Arial" w:hAnsi="Arial" w:cs="Arial"/>
          <w:sz w:val="24"/>
          <w:szCs w:val="24"/>
        </w:rPr>
        <w:t xml:space="preserve"> are expected to assess the risk of children being drawn into terrorism, including support for extremist ideas that are part of terrorist ideology. This means being able to demonstrate both a general understanding of the risks affecting children and young people in the area and a specific understanding of how to identify individual children who may be at risk of radicalisation and what to do to support them.</w:t>
      </w:r>
    </w:p>
    <w:p w14:paraId="7C240F75" w14:textId="2B6424B2" w:rsidR="00F01FDA" w:rsidRPr="00032236" w:rsidRDefault="004639AD" w:rsidP="00F01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9A6A6F">
        <w:rPr>
          <w:rFonts w:ascii="Arial" w:hAnsi="Arial" w:cs="Arial"/>
          <w:sz w:val="24"/>
          <w:szCs w:val="24"/>
        </w:rPr>
        <w:t>Wivelsfield School</w:t>
      </w:r>
      <w:r w:rsidR="00E25E38">
        <w:rPr>
          <w:rFonts w:ascii="Arial" w:hAnsi="Arial" w:cs="Arial"/>
          <w:sz w:val="24"/>
          <w:szCs w:val="24"/>
        </w:rPr>
        <w:t>, w</w:t>
      </w:r>
      <w:r w:rsidR="0010289C">
        <w:rPr>
          <w:rFonts w:ascii="Arial" w:hAnsi="Arial" w:cs="Arial"/>
          <w:sz w:val="24"/>
          <w:szCs w:val="24"/>
        </w:rPr>
        <w:t>e</w:t>
      </w:r>
      <w:r w:rsidR="00F01FDA">
        <w:rPr>
          <w:rFonts w:ascii="Arial" w:hAnsi="Arial" w:cs="Arial"/>
          <w:sz w:val="24"/>
          <w:szCs w:val="24"/>
        </w:rPr>
        <w:t xml:space="preserve"> already mitigate the risks </w:t>
      </w:r>
      <w:r w:rsidR="0010289C">
        <w:rPr>
          <w:rFonts w:ascii="Arial" w:hAnsi="Arial" w:cs="Arial"/>
          <w:sz w:val="24"/>
          <w:szCs w:val="24"/>
        </w:rPr>
        <w:t>by</w:t>
      </w:r>
      <w:r w:rsidR="00F01FDA">
        <w:rPr>
          <w:rFonts w:ascii="Arial" w:hAnsi="Arial" w:cs="Arial"/>
          <w:sz w:val="24"/>
          <w:szCs w:val="24"/>
        </w:rPr>
        <w:t xml:space="preserve"> raising the awareness of staff </w:t>
      </w:r>
      <w:r w:rsidR="00EB7670">
        <w:rPr>
          <w:rFonts w:ascii="Arial" w:hAnsi="Arial" w:cs="Arial"/>
          <w:sz w:val="24"/>
          <w:szCs w:val="24"/>
        </w:rPr>
        <w:t xml:space="preserve">through Prevent training </w:t>
      </w:r>
      <w:r w:rsidR="00F01FDA">
        <w:rPr>
          <w:rFonts w:ascii="Arial" w:hAnsi="Arial" w:cs="Arial"/>
          <w:sz w:val="24"/>
          <w:szCs w:val="24"/>
        </w:rPr>
        <w:t>and using internet filters on school ICT systems</w:t>
      </w:r>
      <w:r w:rsidR="0010289C">
        <w:rPr>
          <w:rFonts w:ascii="Arial" w:hAnsi="Arial" w:cs="Arial"/>
          <w:sz w:val="24"/>
          <w:szCs w:val="24"/>
        </w:rPr>
        <w:t>.</w:t>
      </w:r>
      <w:r w:rsidR="00F01FDA">
        <w:rPr>
          <w:rFonts w:ascii="Arial" w:hAnsi="Arial" w:cs="Arial"/>
          <w:sz w:val="24"/>
          <w:szCs w:val="24"/>
        </w:rPr>
        <w:t xml:space="preserve"> </w:t>
      </w:r>
      <w:r w:rsidR="00EB7670">
        <w:rPr>
          <w:rFonts w:ascii="Arial" w:hAnsi="Arial" w:cs="Arial"/>
          <w:sz w:val="24"/>
          <w:szCs w:val="24"/>
        </w:rPr>
        <w:t>T</w:t>
      </w:r>
      <w:r w:rsidR="00F01FDA">
        <w:rPr>
          <w:rFonts w:ascii="Arial" w:hAnsi="Arial" w:cs="Arial"/>
          <w:sz w:val="24"/>
          <w:szCs w:val="24"/>
        </w:rPr>
        <w:t xml:space="preserve">his </w:t>
      </w:r>
      <w:r w:rsidR="00EB7670">
        <w:rPr>
          <w:rFonts w:ascii="Arial" w:hAnsi="Arial" w:cs="Arial"/>
          <w:sz w:val="24"/>
          <w:szCs w:val="24"/>
        </w:rPr>
        <w:t xml:space="preserve">risk </w:t>
      </w:r>
      <w:r w:rsidR="00F01FDA">
        <w:rPr>
          <w:rFonts w:ascii="Arial" w:hAnsi="Arial" w:cs="Arial"/>
          <w:sz w:val="24"/>
          <w:szCs w:val="24"/>
        </w:rPr>
        <w:t xml:space="preserve">assessment is a way of evidencing how </w:t>
      </w:r>
      <w:r>
        <w:rPr>
          <w:rFonts w:ascii="Arial" w:hAnsi="Arial" w:cs="Arial"/>
          <w:sz w:val="24"/>
          <w:szCs w:val="24"/>
        </w:rPr>
        <w:t>our schools are</w:t>
      </w:r>
      <w:r w:rsidR="00EB7670">
        <w:rPr>
          <w:rFonts w:ascii="Arial" w:hAnsi="Arial" w:cs="Arial"/>
          <w:sz w:val="24"/>
          <w:szCs w:val="24"/>
        </w:rPr>
        <w:t xml:space="preserve"> </w:t>
      </w:r>
      <w:r w:rsidR="00F01FDA">
        <w:rPr>
          <w:rFonts w:ascii="Arial" w:hAnsi="Arial" w:cs="Arial"/>
          <w:sz w:val="24"/>
          <w:szCs w:val="24"/>
        </w:rPr>
        <w:t>reducing the risks of children as well as staff being exposed to messages and influences of violent extremism and radicalisation.</w:t>
      </w:r>
    </w:p>
    <w:p w14:paraId="0E71FBB6" w14:textId="77777777" w:rsidR="00F01FDA" w:rsidRPr="00032236" w:rsidRDefault="00F01FDA" w:rsidP="00F01FDA">
      <w:pPr>
        <w:rPr>
          <w:rFonts w:ascii="Arial" w:hAnsi="Arial" w:cs="Arial"/>
          <w:sz w:val="24"/>
          <w:szCs w:val="24"/>
        </w:rPr>
      </w:pPr>
      <w:r w:rsidRPr="00032236">
        <w:rPr>
          <w:rFonts w:ascii="Arial" w:hAnsi="Arial" w:cs="Arial"/>
          <w:sz w:val="24"/>
          <w:szCs w:val="24"/>
        </w:rPr>
        <w:t>This risk assessment will:</w:t>
      </w:r>
    </w:p>
    <w:p w14:paraId="45D22080" w14:textId="77777777" w:rsidR="00F01FDA" w:rsidRPr="00032236" w:rsidRDefault="00F01FDA" w:rsidP="00F01FD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32236">
        <w:rPr>
          <w:rFonts w:ascii="Arial" w:hAnsi="Arial" w:cs="Arial"/>
          <w:sz w:val="24"/>
          <w:szCs w:val="24"/>
        </w:rPr>
        <w:t xml:space="preserve">Identify the threats in relation to the summary of local risk </w:t>
      </w:r>
    </w:p>
    <w:p w14:paraId="2935AEDC" w14:textId="77777777" w:rsidR="00F01FDA" w:rsidRPr="00032236" w:rsidRDefault="00F01FDA" w:rsidP="00F01FD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32236">
        <w:rPr>
          <w:rFonts w:ascii="Arial" w:hAnsi="Arial" w:cs="Arial"/>
          <w:sz w:val="24"/>
          <w:szCs w:val="24"/>
        </w:rPr>
        <w:t>Decide who might be harmed and how</w:t>
      </w:r>
    </w:p>
    <w:p w14:paraId="0B81F808" w14:textId="77777777" w:rsidR="00F01FDA" w:rsidRPr="00032236" w:rsidRDefault="00F01FDA" w:rsidP="00F01FD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32236">
        <w:rPr>
          <w:rFonts w:ascii="Arial" w:hAnsi="Arial" w:cs="Arial"/>
          <w:sz w:val="24"/>
          <w:szCs w:val="24"/>
        </w:rPr>
        <w:t>Evaluate the risks and decide on precautions</w:t>
      </w:r>
    </w:p>
    <w:p w14:paraId="1414F0AC" w14:textId="77777777" w:rsidR="00F01FDA" w:rsidRPr="00032236" w:rsidRDefault="00F01FDA" w:rsidP="00F01FDA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32236">
        <w:rPr>
          <w:rFonts w:ascii="Arial" w:hAnsi="Arial" w:cs="Arial"/>
          <w:sz w:val="24"/>
          <w:szCs w:val="24"/>
        </w:rPr>
        <w:t>Record any significant findings</w:t>
      </w:r>
    </w:p>
    <w:p w14:paraId="0261BEF2" w14:textId="7484853E" w:rsidR="006B76A7" w:rsidRDefault="00F01FDA" w:rsidP="00F01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Sussex Police produce an annual profile of risks relating to counter terrorism in East Sussex. </w:t>
      </w:r>
      <w:r w:rsidR="007B445E">
        <w:rPr>
          <w:rFonts w:ascii="Arial" w:hAnsi="Arial" w:cs="Arial"/>
          <w:sz w:val="24"/>
          <w:szCs w:val="24"/>
        </w:rPr>
        <w:t xml:space="preserve">A summary of this </w:t>
      </w:r>
      <w:r>
        <w:rPr>
          <w:rFonts w:ascii="Arial" w:hAnsi="Arial" w:cs="Arial"/>
          <w:sz w:val="24"/>
          <w:szCs w:val="24"/>
        </w:rPr>
        <w:t xml:space="preserve">can be found on page </w:t>
      </w:r>
      <w:r w:rsidR="007F389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AE6EFD3" w14:textId="77777777" w:rsidR="00F01FDA" w:rsidRDefault="00F01FDA" w:rsidP="00F01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information </w:t>
      </w:r>
      <w:r w:rsidR="006B76A7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be</w:t>
      </w:r>
      <w:r w:rsidR="006B76A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incorporated into this risk assessment and can be included in the </w:t>
      </w:r>
      <w:r w:rsidRPr="009A16D8">
        <w:rPr>
          <w:rFonts w:ascii="Arial" w:hAnsi="Arial" w:cs="Arial"/>
          <w:sz w:val="24"/>
          <w:szCs w:val="24"/>
        </w:rPr>
        <w:t>External /Community Factors</w:t>
      </w:r>
      <w:r>
        <w:rPr>
          <w:rFonts w:ascii="Arial" w:hAnsi="Arial" w:cs="Arial"/>
          <w:sz w:val="24"/>
          <w:szCs w:val="24"/>
        </w:rPr>
        <w:t xml:space="preserve"> section of the risk assessment found on the next page.</w:t>
      </w:r>
    </w:p>
    <w:p w14:paraId="088B6E6A" w14:textId="77777777" w:rsidR="00F01FDA" w:rsidRDefault="00F01FDA" w:rsidP="00F01FDA">
      <w:pPr>
        <w:rPr>
          <w:rFonts w:ascii="Arial" w:hAnsi="Arial" w:cs="Arial"/>
          <w:sz w:val="24"/>
          <w:szCs w:val="24"/>
        </w:rPr>
      </w:pPr>
    </w:p>
    <w:p w14:paraId="68178D2E" w14:textId="77777777" w:rsidR="00F01FDA" w:rsidRDefault="00F01FDA" w:rsidP="00F01FDA">
      <w:pPr>
        <w:rPr>
          <w:rFonts w:ascii="Arial" w:hAnsi="Arial" w:cs="Arial"/>
          <w:sz w:val="24"/>
          <w:szCs w:val="24"/>
        </w:rPr>
      </w:pPr>
    </w:p>
    <w:p w14:paraId="6A901226" w14:textId="77777777" w:rsidR="00F01FDA" w:rsidRPr="00032236" w:rsidRDefault="00F01FDA" w:rsidP="00F01FD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3397"/>
        <w:gridCol w:w="3395"/>
        <w:gridCol w:w="3349"/>
      </w:tblGrid>
      <w:tr w:rsidR="009A6A6F" w14:paraId="51AC487D" w14:textId="77777777" w:rsidTr="00C946EE">
        <w:trPr>
          <w:trHeight w:val="1040"/>
          <w:jc w:val="center"/>
        </w:trPr>
        <w:tc>
          <w:tcPr>
            <w:tcW w:w="4013" w:type="dxa"/>
            <w:shd w:val="clear" w:color="auto" w:fill="E7E6E6" w:themeFill="background2"/>
          </w:tcPr>
          <w:p w14:paraId="34151FFC" w14:textId="318F3A86" w:rsidR="00F01FDA" w:rsidRPr="003E4AA8" w:rsidRDefault="009A6A6F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Wivelsfield School</w:t>
            </w:r>
          </w:p>
          <w:p w14:paraId="2978DAC5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6D7157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1CBCE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33147654" w14:textId="77777777" w:rsidR="00F01FDA" w:rsidRDefault="00F01FDA" w:rsidP="006B76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4AA8">
              <w:rPr>
                <w:rFonts w:ascii="Arial" w:hAnsi="Arial" w:cs="Arial"/>
                <w:b/>
                <w:sz w:val="24"/>
                <w:szCs w:val="24"/>
              </w:rPr>
              <w:t xml:space="preserve">Safeguarding </w:t>
            </w:r>
            <w:r w:rsidR="006B76A7">
              <w:rPr>
                <w:rFonts w:ascii="Arial" w:hAnsi="Arial" w:cs="Arial"/>
                <w:b/>
                <w:sz w:val="24"/>
                <w:szCs w:val="24"/>
              </w:rPr>
              <w:t>Leads</w:t>
            </w:r>
            <w:r w:rsidRPr="003E4AA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760CAAC" w14:textId="58FCE383" w:rsidR="006B76A7" w:rsidRDefault="009A6A6F" w:rsidP="006B76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4639AD">
              <w:rPr>
                <w:rFonts w:ascii="Arial" w:hAnsi="Arial" w:cs="Arial"/>
                <w:b/>
                <w:sz w:val="24"/>
                <w:szCs w:val="24"/>
              </w:rPr>
              <w:t>eadteacher</w:t>
            </w:r>
            <w:r w:rsidR="00900639">
              <w:rPr>
                <w:rFonts w:ascii="Arial" w:hAnsi="Arial" w:cs="Arial"/>
                <w:b/>
                <w:sz w:val="24"/>
                <w:szCs w:val="24"/>
              </w:rPr>
              <w:t xml:space="preserve"> Helen Smith</w:t>
            </w:r>
          </w:p>
          <w:p w14:paraId="1688F5FB" w14:textId="77777777" w:rsidR="006B76A7" w:rsidRDefault="009A6A6F" w:rsidP="009A6A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</w:t>
            </w:r>
            <w:r w:rsidR="00900639">
              <w:rPr>
                <w:rFonts w:ascii="Arial" w:hAnsi="Arial" w:cs="Arial"/>
                <w:b/>
                <w:sz w:val="24"/>
                <w:szCs w:val="24"/>
              </w:rPr>
              <w:t xml:space="preserve"> of School Hayley </w:t>
            </w:r>
            <w:proofErr w:type="spellStart"/>
            <w:r w:rsidR="00900639">
              <w:rPr>
                <w:rFonts w:ascii="Arial" w:hAnsi="Arial" w:cs="Arial"/>
                <w:b/>
                <w:sz w:val="24"/>
                <w:szCs w:val="24"/>
              </w:rPr>
              <w:t>Glassock</w:t>
            </w:r>
            <w:proofErr w:type="spellEnd"/>
          </w:p>
          <w:p w14:paraId="574C1654" w14:textId="2D2DBA30" w:rsidR="00900639" w:rsidRPr="003E4AA8" w:rsidRDefault="00900639" w:rsidP="009A6A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SENCo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Laura Cosgrove</w:t>
            </w:r>
          </w:p>
        </w:tc>
        <w:tc>
          <w:tcPr>
            <w:tcW w:w="3544" w:type="dxa"/>
            <w:shd w:val="clear" w:color="auto" w:fill="E7E6E6" w:themeFill="background2"/>
          </w:tcPr>
          <w:p w14:paraId="1D017972" w14:textId="77777777" w:rsidR="00F01FDA" w:rsidRDefault="00F01FDA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4AA8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AA4D81">
              <w:rPr>
                <w:rFonts w:ascii="Arial" w:hAnsi="Arial" w:cs="Arial"/>
                <w:b/>
                <w:sz w:val="24"/>
                <w:szCs w:val="24"/>
              </w:rPr>
              <w:t xml:space="preserve">Risk </w:t>
            </w:r>
            <w:r w:rsidRPr="003E4AA8">
              <w:rPr>
                <w:rFonts w:ascii="Arial" w:hAnsi="Arial" w:cs="Arial"/>
                <w:b/>
                <w:sz w:val="24"/>
                <w:szCs w:val="24"/>
              </w:rPr>
              <w:t>Assessment:</w:t>
            </w:r>
          </w:p>
          <w:p w14:paraId="5C9CD797" w14:textId="77777777" w:rsidR="00AA4D81" w:rsidRDefault="00AA4D81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79925" w14:textId="504995CD" w:rsidR="00AA4D81" w:rsidRPr="003E4AA8" w:rsidRDefault="00900639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October </w:t>
            </w:r>
            <w:r w:rsidR="009A6A6F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E7E6E6" w:themeFill="background2"/>
          </w:tcPr>
          <w:p w14:paraId="268AD964" w14:textId="77777777" w:rsidR="00F01FDA" w:rsidRDefault="00F01FDA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E4AA8">
              <w:rPr>
                <w:rFonts w:ascii="Arial" w:hAnsi="Arial" w:cs="Arial"/>
                <w:b/>
                <w:sz w:val="24"/>
                <w:szCs w:val="24"/>
              </w:rPr>
              <w:t>Date for review:</w:t>
            </w:r>
          </w:p>
          <w:p w14:paraId="37C2869A" w14:textId="77777777" w:rsidR="00AA4D81" w:rsidRDefault="00AA4D81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2A168" w14:textId="0E1ECB69" w:rsidR="00AA4D81" w:rsidRDefault="00900639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October </w:t>
            </w:r>
            <w:r w:rsidR="001072DD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BE6D5FE" w14:textId="77777777" w:rsidR="00AA4D81" w:rsidRPr="003E4AA8" w:rsidRDefault="00AA4D81" w:rsidP="00C946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65CDBB" w14:textId="77777777" w:rsidR="00F01FDA" w:rsidRDefault="00F01FDA" w:rsidP="00F01FDA">
      <w:pPr>
        <w:rPr>
          <w:rFonts w:ascii="Arial" w:hAnsi="Arial" w:cs="Arial"/>
          <w:b/>
          <w:sz w:val="24"/>
          <w:szCs w:val="24"/>
        </w:rPr>
      </w:pPr>
    </w:p>
    <w:tbl>
      <w:tblPr>
        <w:tblW w:w="14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3"/>
        <w:gridCol w:w="2684"/>
        <w:gridCol w:w="2552"/>
        <w:gridCol w:w="2634"/>
        <w:gridCol w:w="1559"/>
        <w:gridCol w:w="1486"/>
        <w:gridCol w:w="1286"/>
      </w:tblGrid>
      <w:tr w:rsidR="00F01FDA" w14:paraId="779D3C3F" w14:textId="77777777" w:rsidTr="00C946EE">
        <w:trPr>
          <w:trHeight w:val="495"/>
          <w:jc w:val="center"/>
        </w:trPr>
        <w:tc>
          <w:tcPr>
            <w:tcW w:w="5157" w:type="dxa"/>
            <w:gridSpan w:val="2"/>
            <w:vMerge w:val="restart"/>
            <w:shd w:val="clear" w:color="auto" w:fill="E7E6E6" w:themeFill="background2"/>
          </w:tcPr>
          <w:p w14:paraId="31927579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AB16412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7C6E">
              <w:rPr>
                <w:rFonts w:ascii="Arial" w:hAnsi="Arial" w:cs="Arial"/>
                <w:b/>
              </w:rPr>
              <w:t>Risk Area</w:t>
            </w:r>
          </w:p>
          <w:p w14:paraId="6258DA75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5C1A521" w14:textId="77777777" w:rsidR="00F01FDA" w:rsidRPr="00B47C6E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 w:val="restart"/>
            <w:shd w:val="clear" w:color="auto" w:fill="E7E6E6" w:themeFill="background2"/>
          </w:tcPr>
          <w:p w14:paraId="70E8A8AB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89BA57A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7C6E">
              <w:rPr>
                <w:rFonts w:ascii="Arial" w:hAnsi="Arial" w:cs="Arial"/>
                <w:b/>
              </w:rPr>
              <w:t>Existing Measures</w:t>
            </w:r>
          </w:p>
        </w:tc>
        <w:tc>
          <w:tcPr>
            <w:tcW w:w="2634" w:type="dxa"/>
            <w:vMerge w:val="restart"/>
            <w:shd w:val="clear" w:color="auto" w:fill="E7E6E6" w:themeFill="background2"/>
          </w:tcPr>
          <w:p w14:paraId="76280ECF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9CD2510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7C6E">
              <w:rPr>
                <w:rFonts w:ascii="Arial" w:hAnsi="Arial" w:cs="Arial"/>
                <w:b/>
              </w:rPr>
              <w:t xml:space="preserve">Desired Outcome 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</w:tcPr>
          <w:p w14:paraId="4E13DF68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B6E77B7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7C6E">
              <w:rPr>
                <w:rFonts w:ascii="Arial" w:hAnsi="Arial" w:cs="Arial"/>
                <w:b/>
              </w:rPr>
              <w:t>Risk Owner</w:t>
            </w:r>
          </w:p>
        </w:tc>
        <w:tc>
          <w:tcPr>
            <w:tcW w:w="1486" w:type="dxa"/>
            <w:vMerge w:val="restart"/>
            <w:shd w:val="clear" w:color="auto" w:fill="E7E6E6" w:themeFill="background2"/>
          </w:tcPr>
          <w:p w14:paraId="07F386A5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4810F6E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7C6E">
              <w:rPr>
                <w:rFonts w:ascii="Arial" w:hAnsi="Arial" w:cs="Arial"/>
                <w:b/>
              </w:rPr>
              <w:t>Planned</w:t>
            </w:r>
          </w:p>
          <w:p w14:paraId="0639BE3D" w14:textId="77777777" w:rsidR="00F01FDA" w:rsidRPr="00B47C6E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7C6E">
              <w:rPr>
                <w:rFonts w:ascii="Arial" w:hAnsi="Arial" w:cs="Arial"/>
                <w:b/>
              </w:rPr>
              <w:t>Completion Date</w:t>
            </w:r>
          </w:p>
        </w:tc>
        <w:tc>
          <w:tcPr>
            <w:tcW w:w="1286" w:type="dxa"/>
            <w:shd w:val="clear" w:color="auto" w:fill="FF0000"/>
          </w:tcPr>
          <w:p w14:paraId="7043E460" w14:textId="77777777" w:rsidR="00F01FDA" w:rsidRPr="00301F5F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1F5F">
              <w:rPr>
                <w:rFonts w:ascii="Arial" w:hAnsi="Arial" w:cs="Arial"/>
                <w:b/>
              </w:rPr>
              <w:t>Red</w:t>
            </w:r>
          </w:p>
        </w:tc>
      </w:tr>
      <w:tr w:rsidR="00F01FDA" w14:paraId="6C75F834" w14:textId="77777777" w:rsidTr="00C946EE">
        <w:trPr>
          <w:trHeight w:val="255"/>
          <w:jc w:val="center"/>
        </w:trPr>
        <w:tc>
          <w:tcPr>
            <w:tcW w:w="5157" w:type="dxa"/>
            <w:gridSpan w:val="2"/>
            <w:vMerge/>
            <w:shd w:val="clear" w:color="auto" w:fill="E7E6E6" w:themeFill="background2"/>
          </w:tcPr>
          <w:p w14:paraId="661D2303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2552" w:type="dxa"/>
            <w:vMerge/>
            <w:shd w:val="clear" w:color="auto" w:fill="E7E6E6" w:themeFill="background2"/>
          </w:tcPr>
          <w:p w14:paraId="06D51A1D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2634" w:type="dxa"/>
            <w:vMerge/>
            <w:shd w:val="clear" w:color="auto" w:fill="E7E6E6" w:themeFill="background2"/>
          </w:tcPr>
          <w:p w14:paraId="38576CDA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14:paraId="0CF7C861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1486" w:type="dxa"/>
            <w:vMerge/>
            <w:shd w:val="clear" w:color="auto" w:fill="E7E6E6" w:themeFill="background2"/>
          </w:tcPr>
          <w:p w14:paraId="18CEFB45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1286" w:type="dxa"/>
            <w:shd w:val="clear" w:color="auto" w:fill="FFC000"/>
          </w:tcPr>
          <w:p w14:paraId="578A4B39" w14:textId="77777777" w:rsidR="00F01FDA" w:rsidRPr="00301F5F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1F5F">
              <w:rPr>
                <w:rFonts w:ascii="Arial" w:hAnsi="Arial" w:cs="Arial"/>
                <w:b/>
              </w:rPr>
              <w:t>Amber</w:t>
            </w:r>
          </w:p>
          <w:p w14:paraId="6F74BCA5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1FDA" w14:paraId="6D486051" w14:textId="77777777" w:rsidTr="00C946EE">
        <w:trPr>
          <w:trHeight w:val="240"/>
          <w:jc w:val="center"/>
        </w:trPr>
        <w:tc>
          <w:tcPr>
            <w:tcW w:w="5157" w:type="dxa"/>
            <w:gridSpan w:val="2"/>
            <w:vMerge/>
            <w:shd w:val="clear" w:color="auto" w:fill="E7E6E6" w:themeFill="background2"/>
          </w:tcPr>
          <w:p w14:paraId="04BFE33F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2552" w:type="dxa"/>
            <w:vMerge/>
            <w:shd w:val="clear" w:color="auto" w:fill="E7E6E6" w:themeFill="background2"/>
          </w:tcPr>
          <w:p w14:paraId="507DA135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2634" w:type="dxa"/>
            <w:vMerge/>
            <w:shd w:val="clear" w:color="auto" w:fill="E7E6E6" w:themeFill="background2"/>
          </w:tcPr>
          <w:p w14:paraId="7E9E465E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14:paraId="18FE755E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1486" w:type="dxa"/>
            <w:vMerge/>
            <w:shd w:val="clear" w:color="auto" w:fill="E7E6E6" w:themeFill="background2"/>
          </w:tcPr>
          <w:p w14:paraId="74E95C4E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F5496" w:themeColor="accent5" w:themeShade="BF"/>
              </w:rPr>
            </w:pPr>
          </w:p>
        </w:tc>
        <w:tc>
          <w:tcPr>
            <w:tcW w:w="1286" w:type="dxa"/>
            <w:shd w:val="clear" w:color="auto" w:fill="92D050"/>
          </w:tcPr>
          <w:p w14:paraId="37870F47" w14:textId="77777777" w:rsidR="00F01FDA" w:rsidRPr="00301F5F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1F5F">
              <w:rPr>
                <w:rFonts w:ascii="Arial" w:hAnsi="Arial" w:cs="Arial"/>
                <w:b/>
              </w:rPr>
              <w:t xml:space="preserve">Green </w:t>
            </w:r>
          </w:p>
          <w:p w14:paraId="5361E2D8" w14:textId="77777777" w:rsidR="00F01FDA" w:rsidRPr="00301F5F" w:rsidRDefault="00F01FDA" w:rsidP="00C946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1FDA" w14:paraId="0555A770" w14:textId="77777777" w:rsidTr="00A350C3">
        <w:trPr>
          <w:jc w:val="center"/>
        </w:trPr>
        <w:tc>
          <w:tcPr>
            <w:tcW w:w="2473" w:type="dxa"/>
            <w:vMerge w:val="restart"/>
            <w:shd w:val="clear" w:color="auto" w:fill="F7CAAC" w:themeFill="accent2" w:themeFillTint="66"/>
          </w:tcPr>
          <w:p w14:paraId="0CA3FA31" w14:textId="77777777" w:rsidR="00F01FDA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C1D989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4AA8">
              <w:rPr>
                <w:rFonts w:ascii="Arial" w:hAnsi="Arial" w:cs="Arial"/>
                <w:b/>
              </w:rPr>
              <w:t>Welfare and Safeguarding</w:t>
            </w:r>
          </w:p>
        </w:tc>
        <w:tc>
          <w:tcPr>
            <w:tcW w:w="2684" w:type="dxa"/>
            <w:shd w:val="clear" w:color="auto" w:fill="auto"/>
          </w:tcPr>
          <w:p w14:paraId="6CC304EE" w14:textId="77777777" w:rsidR="00F01FDA" w:rsidRPr="003E4AA8" w:rsidRDefault="00F01FDA" w:rsidP="00395228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 xml:space="preserve">Staff are not aware of the school procedure for handling </w:t>
            </w:r>
            <w:r>
              <w:rPr>
                <w:rFonts w:ascii="Arial" w:hAnsi="Arial" w:cs="Arial"/>
              </w:rPr>
              <w:t xml:space="preserve">Prevent </w:t>
            </w:r>
            <w:r w:rsidRPr="003E4AA8">
              <w:rPr>
                <w:rFonts w:ascii="Arial" w:hAnsi="Arial" w:cs="Arial"/>
              </w:rPr>
              <w:t>concerns and/or do not feel comfortable sharing issues internally</w:t>
            </w:r>
          </w:p>
        </w:tc>
        <w:tc>
          <w:tcPr>
            <w:tcW w:w="2552" w:type="dxa"/>
            <w:shd w:val="clear" w:color="auto" w:fill="auto"/>
          </w:tcPr>
          <w:p w14:paraId="10A10617" w14:textId="2F2C9C5F" w:rsidR="00395228" w:rsidRDefault="009A47EA" w:rsidP="00395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complete Prevent Training </w:t>
            </w:r>
            <w:r w:rsidR="007060ED">
              <w:rPr>
                <w:rFonts w:ascii="Arial" w:hAnsi="Arial" w:cs="Arial"/>
              </w:rPr>
              <w:t xml:space="preserve">as part of the cycle of whole school </w:t>
            </w:r>
            <w:r w:rsidR="00900639">
              <w:rPr>
                <w:rFonts w:ascii="Arial" w:hAnsi="Arial" w:cs="Arial"/>
              </w:rPr>
              <w:t xml:space="preserve"> annual </w:t>
            </w:r>
            <w:r w:rsidR="007060ED">
              <w:rPr>
                <w:rFonts w:ascii="Arial" w:hAnsi="Arial" w:cs="Arial"/>
              </w:rPr>
              <w:t xml:space="preserve">safeguarding </w:t>
            </w:r>
            <w:r w:rsidR="00900639">
              <w:rPr>
                <w:rFonts w:ascii="Arial" w:hAnsi="Arial" w:cs="Arial"/>
              </w:rPr>
              <w:t xml:space="preserve">training  or refresher. This is revisited at least once </w:t>
            </w:r>
            <w:r w:rsidR="004026F7">
              <w:rPr>
                <w:rFonts w:ascii="Arial" w:hAnsi="Arial" w:cs="Arial"/>
              </w:rPr>
              <w:t xml:space="preserve">in </w:t>
            </w:r>
            <w:r w:rsidR="00900639">
              <w:rPr>
                <w:rFonts w:ascii="Arial" w:hAnsi="Arial" w:cs="Arial"/>
              </w:rPr>
              <w:t xml:space="preserve">the </w:t>
            </w:r>
            <w:proofErr w:type="spellStart"/>
            <w:r w:rsidR="00900639">
              <w:rPr>
                <w:rFonts w:ascii="Arial" w:hAnsi="Arial" w:cs="Arial"/>
              </w:rPr>
              <w:t>achool</w:t>
            </w:r>
            <w:proofErr w:type="spellEnd"/>
            <w:r w:rsidR="00900639">
              <w:rPr>
                <w:rFonts w:ascii="Arial" w:hAnsi="Arial" w:cs="Arial"/>
              </w:rPr>
              <w:t xml:space="preserve"> year.</w:t>
            </w:r>
            <w:r>
              <w:rPr>
                <w:rFonts w:ascii="Arial" w:hAnsi="Arial" w:cs="Arial"/>
              </w:rPr>
              <w:t xml:space="preserve">  </w:t>
            </w:r>
          </w:p>
          <w:p w14:paraId="26AD1CA9" w14:textId="77777777" w:rsidR="009A47EA" w:rsidRDefault="009A47EA" w:rsidP="00395228">
            <w:pPr>
              <w:spacing w:after="0" w:line="240" w:lineRule="auto"/>
              <w:rPr>
                <w:rFonts w:ascii="Arial" w:hAnsi="Arial" w:cs="Arial"/>
              </w:rPr>
            </w:pPr>
          </w:p>
          <w:p w14:paraId="545C9FE7" w14:textId="77777777" w:rsidR="00F01FDA" w:rsidRDefault="00395228" w:rsidP="00395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  <w:r w:rsidR="00F01FDA" w:rsidRPr="00984BE6">
              <w:rPr>
                <w:rFonts w:ascii="Arial" w:hAnsi="Arial" w:cs="Arial"/>
              </w:rPr>
              <w:t xml:space="preserve"> are familiar with the school</w:t>
            </w:r>
            <w:r>
              <w:rPr>
                <w:rFonts w:ascii="Arial" w:hAnsi="Arial" w:cs="Arial"/>
              </w:rPr>
              <w:t>’s</w:t>
            </w:r>
            <w:r w:rsidR="00F01FDA" w:rsidRPr="00984B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F01FDA" w:rsidRPr="00984BE6">
              <w:rPr>
                <w:rFonts w:ascii="Arial" w:hAnsi="Arial" w:cs="Arial"/>
              </w:rPr>
              <w:t>afeguarding</w:t>
            </w:r>
            <w:r>
              <w:rPr>
                <w:rFonts w:ascii="Arial" w:hAnsi="Arial" w:cs="Arial"/>
              </w:rPr>
              <w:t xml:space="preserve"> and Child Protection Policy.</w:t>
            </w:r>
          </w:p>
          <w:p w14:paraId="49475274" w14:textId="77777777" w:rsidR="004026F7" w:rsidRDefault="004026F7" w:rsidP="00395228">
            <w:pPr>
              <w:spacing w:after="0" w:line="240" w:lineRule="auto"/>
              <w:rPr>
                <w:rFonts w:ascii="Arial" w:hAnsi="Arial" w:cs="Arial"/>
              </w:rPr>
            </w:pPr>
          </w:p>
          <w:p w14:paraId="5A314E71" w14:textId="2CA896C9" w:rsidR="004026F7" w:rsidRPr="00984BE6" w:rsidRDefault="004026F7" w:rsidP="00395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DSL does specific Prevent training</w:t>
            </w:r>
          </w:p>
        </w:tc>
        <w:tc>
          <w:tcPr>
            <w:tcW w:w="2634" w:type="dxa"/>
            <w:shd w:val="clear" w:color="auto" w:fill="auto"/>
          </w:tcPr>
          <w:p w14:paraId="309B3718" w14:textId="77777777" w:rsidR="00F01FDA" w:rsidRDefault="00F01FDA" w:rsidP="00C946EE">
            <w:pPr>
              <w:rPr>
                <w:rFonts w:ascii="Arial" w:hAnsi="Arial" w:cs="Arial"/>
              </w:rPr>
            </w:pPr>
            <w:r w:rsidRPr="00D95D38">
              <w:rPr>
                <w:rFonts w:ascii="Arial" w:hAnsi="Arial" w:cs="Arial"/>
              </w:rPr>
              <w:t xml:space="preserve">All staff are aware of the safeguarding procedure and that </w:t>
            </w:r>
            <w:r>
              <w:rPr>
                <w:rFonts w:ascii="Arial" w:hAnsi="Arial" w:cs="Arial"/>
              </w:rPr>
              <w:t xml:space="preserve">violent extremism and </w:t>
            </w:r>
            <w:r w:rsidRPr="00D95D38">
              <w:rPr>
                <w:rFonts w:ascii="Arial" w:hAnsi="Arial" w:cs="Arial"/>
              </w:rPr>
              <w:t>radicalisation is included within it.</w:t>
            </w:r>
          </w:p>
          <w:p w14:paraId="4D9D58BA" w14:textId="77777777" w:rsidR="00395228" w:rsidRDefault="00395228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recei</w:t>
            </w:r>
            <w:r w:rsidRPr="00C77BAC">
              <w:rPr>
                <w:rFonts w:ascii="Arial" w:hAnsi="Arial" w:cs="Arial"/>
              </w:rPr>
              <w:t>ve train</w:t>
            </w:r>
            <w:r>
              <w:rPr>
                <w:rFonts w:ascii="Arial" w:hAnsi="Arial" w:cs="Arial"/>
              </w:rPr>
              <w:t>ing in the safeguarding process, including Prevent.</w:t>
            </w:r>
          </w:p>
          <w:p w14:paraId="2861BC93" w14:textId="77777777" w:rsidR="00F01FDA" w:rsidRPr="00A65344" w:rsidRDefault="00F01FDA" w:rsidP="00395228">
            <w:r w:rsidRPr="00C77BA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Designated Safeguarding Lead is</w:t>
            </w:r>
            <w:r w:rsidRPr="00C77BAC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he point of contact. </w:t>
            </w:r>
          </w:p>
        </w:tc>
        <w:tc>
          <w:tcPr>
            <w:tcW w:w="1559" w:type="dxa"/>
            <w:shd w:val="clear" w:color="auto" w:fill="auto"/>
          </w:tcPr>
          <w:p w14:paraId="488C278C" w14:textId="77777777" w:rsidR="00F01FDA" w:rsidRPr="00731697" w:rsidRDefault="00F01FDA" w:rsidP="00C946EE">
            <w:pPr>
              <w:rPr>
                <w:rFonts w:ascii="Arial" w:hAnsi="Arial" w:cs="Arial"/>
              </w:rPr>
            </w:pPr>
          </w:p>
          <w:p w14:paraId="43D5FF06" w14:textId="0AD3D6A6" w:rsidR="00731697" w:rsidRPr="00731697" w:rsidRDefault="009A6A6F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</w:t>
            </w:r>
            <w:r w:rsidR="004639AD">
              <w:rPr>
                <w:rFonts w:ascii="Arial" w:hAnsi="Arial" w:cs="Arial"/>
              </w:rPr>
              <w:t>dteacher</w:t>
            </w:r>
          </w:p>
        </w:tc>
        <w:tc>
          <w:tcPr>
            <w:tcW w:w="1486" w:type="dxa"/>
            <w:shd w:val="clear" w:color="auto" w:fill="auto"/>
          </w:tcPr>
          <w:p w14:paraId="03A568DE" w14:textId="6EB95E51" w:rsidR="00F01FDA" w:rsidRDefault="001072DD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 cycle  - see training log</w:t>
            </w:r>
          </w:p>
          <w:p w14:paraId="7BB4BE66" w14:textId="19FC6AFE" w:rsidR="00731697" w:rsidRPr="00731697" w:rsidRDefault="00731697" w:rsidP="00C946EE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00B050"/>
          </w:tcPr>
          <w:p w14:paraId="5FF94045" w14:textId="77777777" w:rsidR="00F01FDA" w:rsidRDefault="00F01FDA" w:rsidP="00C946EE"/>
          <w:p w14:paraId="78238296" w14:textId="7684418A" w:rsidR="000069E7" w:rsidRPr="000069E7" w:rsidRDefault="000069E7" w:rsidP="00C946EE">
            <w:pPr>
              <w:rPr>
                <w:rFonts w:ascii="Arial" w:hAnsi="Arial" w:cs="Arial"/>
                <w:b/>
              </w:rPr>
            </w:pPr>
          </w:p>
        </w:tc>
      </w:tr>
      <w:tr w:rsidR="00F01FDA" w14:paraId="2CDFA3B3" w14:textId="77777777" w:rsidTr="00476682">
        <w:trPr>
          <w:jc w:val="center"/>
        </w:trPr>
        <w:tc>
          <w:tcPr>
            <w:tcW w:w="2473" w:type="dxa"/>
            <w:vMerge/>
            <w:shd w:val="clear" w:color="auto" w:fill="F7CAAC" w:themeFill="accent2" w:themeFillTint="66"/>
          </w:tcPr>
          <w:p w14:paraId="42051960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auto"/>
          </w:tcPr>
          <w:p w14:paraId="58AB5FB9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Learners are radicalised by factors internal or external to the school</w:t>
            </w:r>
          </w:p>
          <w:p w14:paraId="418432F8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07A42A1D" w14:textId="77777777" w:rsidR="00F01FDA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>Learners have received training in critical thinking as part of the curriculum</w:t>
            </w:r>
            <w:r w:rsidR="00476682">
              <w:rPr>
                <w:rFonts w:ascii="Arial" w:hAnsi="Arial" w:cs="Arial"/>
              </w:rPr>
              <w:t xml:space="preserve">. </w:t>
            </w:r>
          </w:p>
          <w:p w14:paraId="03EFF81B" w14:textId="4CCFB22C" w:rsidR="000069E7" w:rsidRPr="00984BE6" w:rsidRDefault="00476682" w:rsidP="001072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includes </w:t>
            </w:r>
            <w:r w:rsidR="004639AD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igsaw PSHE scheme, </w:t>
            </w:r>
          </w:p>
        </w:tc>
        <w:tc>
          <w:tcPr>
            <w:tcW w:w="2634" w:type="dxa"/>
            <w:shd w:val="clear" w:color="auto" w:fill="auto"/>
          </w:tcPr>
          <w:p w14:paraId="280DDEEE" w14:textId="77777777" w:rsidR="00F01FDA" w:rsidRPr="00A65344" w:rsidRDefault="000069E7" w:rsidP="000069E7">
            <w:r>
              <w:rPr>
                <w:rFonts w:ascii="Arial" w:hAnsi="Arial" w:cs="Arial"/>
              </w:rPr>
              <w:t>E</w:t>
            </w:r>
            <w:r w:rsidR="00F01FDA" w:rsidRPr="00543231">
              <w:rPr>
                <w:rFonts w:ascii="Arial" w:hAnsi="Arial" w:cs="Arial"/>
              </w:rPr>
              <w:t xml:space="preserve">-safety and anti-bullying </w:t>
            </w:r>
            <w:r>
              <w:rPr>
                <w:rFonts w:ascii="Arial" w:hAnsi="Arial" w:cs="Arial"/>
              </w:rPr>
              <w:t xml:space="preserve">are incorporated into the curriculum, </w:t>
            </w:r>
            <w:r w:rsidR="00F01FDA" w:rsidRPr="00543231">
              <w:rPr>
                <w:rFonts w:ascii="Arial" w:hAnsi="Arial" w:cs="Arial"/>
              </w:rPr>
              <w:t>includ</w:t>
            </w:r>
            <w:r>
              <w:rPr>
                <w:rFonts w:ascii="Arial" w:hAnsi="Arial" w:cs="Arial"/>
              </w:rPr>
              <w:t>ing</w:t>
            </w:r>
            <w:r w:rsidR="00F01FDA" w:rsidRPr="00543231">
              <w:rPr>
                <w:rFonts w:ascii="Arial" w:hAnsi="Arial" w:cs="Arial"/>
              </w:rPr>
              <w:t xml:space="preserve"> guarding against extremism</w:t>
            </w:r>
            <w:r w:rsidR="00F01FDA" w:rsidRPr="00543231">
              <w:t>.</w:t>
            </w:r>
          </w:p>
        </w:tc>
        <w:tc>
          <w:tcPr>
            <w:tcW w:w="1559" w:type="dxa"/>
            <w:shd w:val="clear" w:color="auto" w:fill="auto"/>
          </w:tcPr>
          <w:p w14:paraId="372E1000" w14:textId="77777777" w:rsidR="00F01FDA" w:rsidRDefault="00F01FDA" w:rsidP="00C946EE"/>
          <w:p w14:paraId="7D28AB09" w14:textId="77777777" w:rsidR="000069E7" w:rsidRPr="000069E7" w:rsidRDefault="000069E7" w:rsidP="00C946EE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  <w:shd w:val="clear" w:color="auto" w:fill="auto"/>
          </w:tcPr>
          <w:p w14:paraId="1C366CB6" w14:textId="77777777" w:rsidR="00F01FDA" w:rsidRDefault="00F01FDA" w:rsidP="00C946EE"/>
          <w:p w14:paraId="6EF54015" w14:textId="77777777" w:rsidR="000069E7" w:rsidRPr="000069E7" w:rsidRDefault="006138AA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00B050"/>
          </w:tcPr>
          <w:p w14:paraId="51A847C9" w14:textId="77777777" w:rsidR="00F01FDA" w:rsidRDefault="00F01FDA" w:rsidP="00C946EE"/>
          <w:p w14:paraId="3FD6C210" w14:textId="77777777" w:rsidR="000069E7" w:rsidRDefault="000069E7" w:rsidP="00476682">
            <w:pPr>
              <w:spacing w:after="0" w:line="240" w:lineRule="auto"/>
            </w:pPr>
          </w:p>
        </w:tc>
      </w:tr>
      <w:tr w:rsidR="00F01FDA" w14:paraId="74D09BBA" w14:textId="77777777" w:rsidTr="000069E7">
        <w:trPr>
          <w:jc w:val="center"/>
        </w:trPr>
        <w:tc>
          <w:tcPr>
            <w:tcW w:w="2473" w:type="dxa"/>
            <w:vMerge/>
            <w:shd w:val="clear" w:color="auto" w:fill="F7CAAC" w:themeFill="accent2" w:themeFillTint="66"/>
          </w:tcPr>
          <w:p w14:paraId="1A97D33C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auto"/>
          </w:tcPr>
          <w:p w14:paraId="4D8F6A08" w14:textId="03A15C15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The school is not linked in with statutory partners and/or does not feel comfortable sharing extremism related concerns externally</w:t>
            </w:r>
          </w:p>
        </w:tc>
        <w:tc>
          <w:tcPr>
            <w:tcW w:w="2552" w:type="dxa"/>
            <w:shd w:val="clear" w:color="auto" w:fill="auto"/>
          </w:tcPr>
          <w:p w14:paraId="11E38874" w14:textId="77777777" w:rsidR="00F01FDA" w:rsidRPr="00984BE6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>The school communicates regularly with statutory partners regarding a range of concerns</w:t>
            </w:r>
          </w:p>
          <w:p w14:paraId="60F691EC" w14:textId="77777777" w:rsidR="00F01FDA" w:rsidRPr="00984BE6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34" w:type="dxa"/>
            <w:shd w:val="clear" w:color="auto" w:fill="auto"/>
          </w:tcPr>
          <w:p w14:paraId="6E48E505" w14:textId="77777777" w:rsidR="00F01FDA" w:rsidRPr="00D95D38" w:rsidRDefault="00F01FDA" w:rsidP="000069E7">
            <w:pPr>
              <w:rPr>
                <w:rFonts w:ascii="Arial" w:hAnsi="Arial" w:cs="Arial"/>
              </w:rPr>
            </w:pPr>
            <w:r w:rsidRPr="00D95D38">
              <w:rPr>
                <w:rFonts w:ascii="Arial" w:hAnsi="Arial" w:cs="Arial"/>
              </w:rPr>
              <w:t>Key staff understand what is meant by the terms radicalisation and extremism and are comfortable sharing concerns about radicalisation and extremism.</w:t>
            </w:r>
          </w:p>
        </w:tc>
        <w:tc>
          <w:tcPr>
            <w:tcW w:w="1559" w:type="dxa"/>
            <w:shd w:val="clear" w:color="auto" w:fill="auto"/>
          </w:tcPr>
          <w:p w14:paraId="7D86EC4B" w14:textId="3AC6A24A" w:rsidR="00F01FDA" w:rsidRPr="000069E7" w:rsidRDefault="004639AD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  <w:tc>
          <w:tcPr>
            <w:tcW w:w="1486" w:type="dxa"/>
            <w:shd w:val="clear" w:color="auto" w:fill="auto"/>
          </w:tcPr>
          <w:p w14:paraId="3C2406A3" w14:textId="77777777" w:rsidR="00F01FDA" w:rsidRPr="000069E7" w:rsidRDefault="006138AA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4D1F6BC3" w14:textId="77777777" w:rsidR="00F01FDA" w:rsidRDefault="00F01FDA" w:rsidP="00C946EE"/>
          <w:p w14:paraId="625AB084" w14:textId="22393DB9" w:rsidR="009A6A6F" w:rsidRPr="00301F5F" w:rsidRDefault="009A6A6F" w:rsidP="000069E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49806C" w14:textId="77777777" w:rsidR="000069E7" w:rsidRDefault="000069E7" w:rsidP="00C946EE"/>
        </w:tc>
      </w:tr>
      <w:tr w:rsidR="00F01FDA" w14:paraId="0DCD2EBF" w14:textId="77777777" w:rsidTr="00BA5BF2">
        <w:trPr>
          <w:jc w:val="center"/>
        </w:trPr>
        <w:tc>
          <w:tcPr>
            <w:tcW w:w="2473" w:type="dxa"/>
            <w:vMerge w:val="restart"/>
            <w:shd w:val="clear" w:color="auto" w:fill="9CC2E5" w:themeFill="accent1" w:themeFillTint="99"/>
          </w:tcPr>
          <w:p w14:paraId="01F32F60" w14:textId="77777777" w:rsidR="00F01FDA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6D32A4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4AA8">
              <w:rPr>
                <w:rFonts w:ascii="Arial" w:hAnsi="Arial" w:cs="Arial"/>
                <w:b/>
              </w:rPr>
              <w:t>Curriculum and learning</w:t>
            </w:r>
          </w:p>
        </w:tc>
        <w:tc>
          <w:tcPr>
            <w:tcW w:w="2684" w:type="dxa"/>
            <w:shd w:val="clear" w:color="auto" w:fill="auto"/>
          </w:tcPr>
          <w:p w14:paraId="1D3CA356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Learners are exposed by school staff or contracted providers to messaging supportive of terrorism or which contradicts ‘British Values’</w:t>
            </w:r>
          </w:p>
        </w:tc>
        <w:tc>
          <w:tcPr>
            <w:tcW w:w="2552" w:type="dxa"/>
            <w:shd w:val="clear" w:color="auto" w:fill="auto"/>
          </w:tcPr>
          <w:p w14:paraId="3A52D7FC" w14:textId="77777777" w:rsidR="00F01FDA" w:rsidRPr="00984BE6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>Appropriate whistleblowing and safeguarding policies for assessing concerns raised by staff or learners</w:t>
            </w:r>
            <w:r>
              <w:rPr>
                <w:rFonts w:ascii="Arial" w:hAnsi="Arial" w:cs="Arial"/>
              </w:rPr>
              <w:t xml:space="preserve"> are in place.</w:t>
            </w:r>
          </w:p>
          <w:p w14:paraId="1734ABCD" w14:textId="2B6F530E" w:rsidR="00F01FDA" w:rsidRPr="00984BE6" w:rsidRDefault="00F01FDA" w:rsidP="000069E7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 xml:space="preserve">Opportunities to promote British values are </w:t>
            </w:r>
            <w:r w:rsidR="000069E7">
              <w:rPr>
                <w:rFonts w:ascii="Arial" w:hAnsi="Arial" w:cs="Arial"/>
              </w:rPr>
              <w:t xml:space="preserve">incorporated </w:t>
            </w:r>
            <w:r w:rsidRPr="00984BE6">
              <w:rPr>
                <w:rFonts w:ascii="Arial" w:hAnsi="Arial" w:cs="Arial"/>
              </w:rPr>
              <w:t>within  curriculum areas</w:t>
            </w:r>
            <w:r w:rsidR="004026F7">
              <w:rPr>
                <w:rFonts w:ascii="Arial" w:hAnsi="Arial" w:cs="Arial"/>
              </w:rPr>
              <w:t xml:space="preserve"> and assemblies</w:t>
            </w:r>
          </w:p>
        </w:tc>
        <w:tc>
          <w:tcPr>
            <w:tcW w:w="2634" w:type="dxa"/>
            <w:shd w:val="clear" w:color="auto" w:fill="auto"/>
          </w:tcPr>
          <w:p w14:paraId="5AAF955D" w14:textId="77777777" w:rsidR="00F01FDA" w:rsidRPr="00D95D38" w:rsidRDefault="00F01FDA" w:rsidP="0000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069E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chool</w:t>
            </w:r>
            <w:r w:rsidRPr="00543231">
              <w:rPr>
                <w:rFonts w:ascii="Arial" w:hAnsi="Arial" w:cs="Arial"/>
              </w:rPr>
              <w:t xml:space="preserve"> has clear and visible policies and procedures for managing whistle-blowing and complaints</w:t>
            </w:r>
          </w:p>
        </w:tc>
        <w:tc>
          <w:tcPr>
            <w:tcW w:w="1559" w:type="dxa"/>
            <w:shd w:val="clear" w:color="auto" w:fill="auto"/>
          </w:tcPr>
          <w:p w14:paraId="1D01EBFA" w14:textId="23A09709" w:rsidR="00F01FDA" w:rsidRDefault="004639AD" w:rsidP="00BA5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A6A6F">
              <w:rPr>
                <w:rFonts w:ascii="Arial" w:hAnsi="Arial" w:cs="Arial"/>
              </w:rPr>
              <w:t>eadteacher</w:t>
            </w:r>
          </w:p>
          <w:p w14:paraId="6DC68B77" w14:textId="77777777" w:rsidR="006138AA" w:rsidRPr="00BA5BF2" w:rsidRDefault="006138AA" w:rsidP="00BA5BF2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  <w:shd w:val="clear" w:color="auto" w:fill="auto"/>
          </w:tcPr>
          <w:p w14:paraId="74E15687" w14:textId="77777777" w:rsidR="00F01FDA" w:rsidRPr="00BA5BF2" w:rsidRDefault="006138AA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03C17474" w14:textId="77777777" w:rsidR="00F01FDA" w:rsidRDefault="00F01FDA" w:rsidP="00C946EE"/>
          <w:p w14:paraId="3EA9A935" w14:textId="0014A2DA" w:rsidR="00BA5BF2" w:rsidRPr="009A6A6F" w:rsidRDefault="00BA5BF2" w:rsidP="009A6A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01FDA" w14:paraId="077CCD7B" w14:textId="77777777" w:rsidTr="00BA5BF2">
        <w:trPr>
          <w:jc w:val="center"/>
        </w:trPr>
        <w:tc>
          <w:tcPr>
            <w:tcW w:w="2473" w:type="dxa"/>
            <w:vMerge/>
            <w:shd w:val="clear" w:color="auto" w:fill="9CC2E5" w:themeFill="accent1" w:themeFillTint="99"/>
          </w:tcPr>
          <w:p w14:paraId="13871CB9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auto"/>
          </w:tcPr>
          <w:p w14:paraId="416595B0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Behaviours which harm the ability of different groups and individuals to learn and work together are left unchallenged</w:t>
            </w:r>
          </w:p>
        </w:tc>
        <w:tc>
          <w:tcPr>
            <w:tcW w:w="2552" w:type="dxa"/>
            <w:shd w:val="clear" w:color="auto" w:fill="auto"/>
          </w:tcPr>
          <w:p w14:paraId="712C486B" w14:textId="77777777" w:rsidR="00F01FDA" w:rsidRPr="00984BE6" w:rsidRDefault="00F01FDA" w:rsidP="006138AA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>The school’s values, and communication of these within the premises and through the curriculum</w:t>
            </w:r>
            <w:r w:rsidR="00BA5BF2">
              <w:rPr>
                <w:rFonts w:ascii="Arial" w:hAnsi="Arial" w:cs="Arial"/>
              </w:rPr>
              <w:t xml:space="preserve"> is establi</w:t>
            </w:r>
            <w:r w:rsidR="004639AD">
              <w:rPr>
                <w:rFonts w:ascii="Arial" w:hAnsi="Arial" w:cs="Arial"/>
              </w:rPr>
              <w:t xml:space="preserve">shed. </w:t>
            </w:r>
          </w:p>
        </w:tc>
        <w:tc>
          <w:tcPr>
            <w:tcW w:w="2634" w:type="dxa"/>
            <w:shd w:val="clear" w:color="auto" w:fill="auto"/>
          </w:tcPr>
          <w:p w14:paraId="4AE315A6" w14:textId="56F31C1F" w:rsidR="00F01FDA" w:rsidRPr="004A4756" w:rsidRDefault="00F01FDA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staff have a duty in helping pupils</w:t>
            </w:r>
            <w:r w:rsidRPr="004A4756">
              <w:rPr>
                <w:rFonts w:ascii="Arial" w:hAnsi="Arial" w:cs="Arial"/>
              </w:rPr>
              <w:t xml:space="preserve"> from being drawn into terrorism and will promote a culture of democracy, mutual respect and tolerance, individual liberty and awareness of rule of law.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C266FC" w14:textId="69EF867F" w:rsidR="00F01FDA" w:rsidRPr="00BA5BF2" w:rsidRDefault="004639AD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  <w:tc>
          <w:tcPr>
            <w:tcW w:w="1486" w:type="dxa"/>
            <w:shd w:val="clear" w:color="auto" w:fill="auto"/>
          </w:tcPr>
          <w:p w14:paraId="30F597AE" w14:textId="77777777" w:rsidR="00F01FDA" w:rsidRPr="00BA5BF2" w:rsidRDefault="004639AD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29C66B5D" w14:textId="747AEB27" w:rsidR="00BA5BF2" w:rsidRPr="00301F5F" w:rsidRDefault="00BA5BF2" w:rsidP="00BA5B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C118735" w14:textId="77777777" w:rsidR="00BA5BF2" w:rsidRDefault="00BA5BF2" w:rsidP="00C946EE"/>
        </w:tc>
      </w:tr>
      <w:tr w:rsidR="00F01FDA" w14:paraId="03B7F686" w14:textId="77777777" w:rsidTr="003B54C0">
        <w:trPr>
          <w:jc w:val="center"/>
        </w:trPr>
        <w:tc>
          <w:tcPr>
            <w:tcW w:w="2473" w:type="dxa"/>
            <w:vMerge w:val="restart"/>
            <w:shd w:val="clear" w:color="auto" w:fill="B4C6E7" w:themeFill="accent5" w:themeFillTint="66"/>
          </w:tcPr>
          <w:p w14:paraId="59E39743" w14:textId="77777777" w:rsidR="00F01FDA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B2ECC4B" w14:textId="77777777" w:rsidR="00F01FDA" w:rsidRPr="003E4AA8" w:rsidRDefault="00F01FDA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4AA8">
              <w:rPr>
                <w:rFonts w:ascii="Arial" w:hAnsi="Arial" w:cs="Arial"/>
                <w:b/>
              </w:rPr>
              <w:t>Organisational culture</w:t>
            </w:r>
          </w:p>
        </w:tc>
        <w:tc>
          <w:tcPr>
            <w:tcW w:w="2684" w:type="dxa"/>
            <w:shd w:val="clear" w:color="auto" w:fill="auto"/>
          </w:tcPr>
          <w:p w14:paraId="1D6022C1" w14:textId="77777777" w:rsidR="00F01FDA" w:rsidRPr="003E4AA8" w:rsidRDefault="00F01FDA" w:rsidP="000F40D7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 xml:space="preserve">Staff  are not aware of </w:t>
            </w:r>
            <w:r w:rsidR="000F40D7">
              <w:rPr>
                <w:rFonts w:ascii="Arial" w:hAnsi="Arial" w:cs="Arial"/>
              </w:rPr>
              <w:t xml:space="preserve">or </w:t>
            </w:r>
            <w:r w:rsidRPr="003E4AA8">
              <w:rPr>
                <w:rFonts w:ascii="Arial" w:hAnsi="Arial" w:cs="Arial"/>
              </w:rPr>
              <w:t>do not s</w:t>
            </w:r>
            <w:r w:rsidR="000F40D7">
              <w:rPr>
                <w:rFonts w:ascii="Arial" w:hAnsi="Arial" w:cs="Arial"/>
              </w:rPr>
              <w:t>u</w:t>
            </w:r>
            <w:r w:rsidRPr="003E4AA8">
              <w:rPr>
                <w:rFonts w:ascii="Arial" w:hAnsi="Arial" w:cs="Arial"/>
              </w:rPr>
              <w:t>bscribe to the values of the school</w:t>
            </w:r>
          </w:p>
        </w:tc>
        <w:tc>
          <w:tcPr>
            <w:tcW w:w="2552" w:type="dxa"/>
            <w:shd w:val="clear" w:color="auto" w:fill="auto"/>
          </w:tcPr>
          <w:p w14:paraId="0C2200DC" w14:textId="77777777" w:rsidR="00F01FDA" w:rsidRDefault="00F01FDA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 xml:space="preserve">Recruitment and induction programmes </w:t>
            </w:r>
            <w:r w:rsidRPr="00984BE6">
              <w:rPr>
                <w:rFonts w:ascii="Arial" w:hAnsi="Arial" w:cs="Arial"/>
              </w:rPr>
              <w:lastRenderedPageBreak/>
              <w:t>and ongoing staff development</w:t>
            </w:r>
            <w:r w:rsidR="000F40D7">
              <w:rPr>
                <w:rFonts w:ascii="Arial" w:hAnsi="Arial" w:cs="Arial"/>
              </w:rPr>
              <w:t>.</w:t>
            </w:r>
          </w:p>
          <w:p w14:paraId="0F87BAFC" w14:textId="77777777" w:rsidR="000F40D7" w:rsidRPr="00984BE6" w:rsidRDefault="000F40D7" w:rsidP="006138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34" w:type="dxa"/>
            <w:shd w:val="clear" w:color="auto" w:fill="auto"/>
          </w:tcPr>
          <w:p w14:paraId="651D1ED3" w14:textId="77777777" w:rsidR="00F01FDA" w:rsidRPr="00543231" w:rsidRDefault="00F01FDA" w:rsidP="003B5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Staff are</w:t>
            </w:r>
            <w:r w:rsidRPr="00543231">
              <w:rPr>
                <w:rFonts w:ascii="Arial" w:hAnsi="Arial" w:cs="Arial"/>
              </w:rPr>
              <w:t xml:space="preserve"> aware of the PREVENT duty and </w:t>
            </w:r>
            <w:r w:rsidR="003B54C0">
              <w:rPr>
                <w:rFonts w:ascii="Arial" w:hAnsi="Arial" w:cs="Arial"/>
              </w:rPr>
              <w:t>are</w:t>
            </w:r>
            <w:r w:rsidRPr="00543231">
              <w:rPr>
                <w:rFonts w:ascii="Arial" w:hAnsi="Arial" w:cs="Arial"/>
              </w:rPr>
              <w:t xml:space="preserve"> </w:t>
            </w:r>
            <w:r w:rsidRPr="00543231">
              <w:rPr>
                <w:rFonts w:ascii="Arial" w:hAnsi="Arial" w:cs="Arial"/>
              </w:rPr>
              <w:lastRenderedPageBreak/>
              <w:t>not inadvertently funding extremist organisations</w:t>
            </w:r>
          </w:p>
        </w:tc>
        <w:tc>
          <w:tcPr>
            <w:tcW w:w="1559" w:type="dxa"/>
            <w:shd w:val="clear" w:color="auto" w:fill="auto"/>
          </w:tcPr>
          <w:p w14:paraId="29347738" w14:textId="66E95987" w:rsidR="00F01FDA" w:rsidRPr="003B54C0" w:rsidRDefault="004639AD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Headteacher</w:t>
            </w:r>
          </w:p>
        </w:tc>
        <w:tc>
          <w:tcPr>
            <w:tcW w:w="1486" w:type="dxa"/>
            <w:shd w:val="clear" w:color="auto" w:fill="auto"/>
          </w:tcPr>
          <w:p w14:paraId="5CCE6EC4" w14:textId="48DC74FD" w:rsidR="00F01FDA" w:rsidRPr="003B54C0" w:rsidRDefault="00F01FDA" w:rsidP="00C946EE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shd w:val="clear" w:color="auto" w:fill="92D050"/>
          </w:tcPr>
          <w:p w14:paraId="767C43B8" w14:textId="77777777" w:rsidR="00F01FDA" w:rsidRDefault="00F01FDA" w:rsidP="00C946EE"/>
          <w:p w14:paraId="402FC57C" w14:textId="44E83249" w:rsidR="00814530" w:rsidRPr="009A6A6F" w:rsidRDefault="00814530" w:rsidP="009A6A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14530" w14:paraId="1AB5422D" w14:textId="77777777" w:rsidTr="001072DD">
        <w:trPr>
          <w:jc w:val="center"/>
        </w:trPr>
        <w:tc>
          <w:tcPr>
            <w:tcW w:w="2473" w:type="dxa"/>
            <w:vMerge/>
            <w:shd w:val="clear" w:color="auto" w:fill="B4C6E7" w:themeFill="accent5" w:themeFillTint="66"/>
          </w:tcPr>
          <w:p w14:paraId="4379294D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auto"/>
          </w:tcPr>
          <w:p w14:paraId="1A3258C6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Staff are unable to raise extremism related organisational concerns due to the lack of an appropriate whistleblowing mechanism</w:t>
            </w:r>
          </w:p>
        </w:tc>
        <w:tc>
          <w:tcPr>
            <w:tcW w:w="2552" w:type="dxa"/>
            <w:shd w:val="clear" w:color="auto" w:fill="auto"/>
          </w:tcPr>
          <w:p w14:paraId="188469B1" w14:textId="77777777" w:rsidR="00814530" w:rsidRPr="00984BE6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>Appropriate whistleblowing policy</w:t>
            </w:r>
            <w:r>
              <w:rPr>
                <w:rFonts w:ascii="Arial" w:hAnsi="Arial" w:cs="Arial"/>
              </w:rPr>
              <w:t xml:space="preserve"> is in place</w:t>
            </w:r>
            <w:r w:rsidRPr="00984BE6">
              <w:rPr>
                <w:rFonts w:ascii="Arial" w:hAnsi="Arial" w:cs="Arial"/>
              </w:rPr>
              <w:t xml:space="preserve"> and awareness raising training provided to all staff</w:t>
            </w:r>
          </w:p>
        </w:tc>
        <w:tc>
          <w:tcPr>
            <w:tcW w:w="2634" w:type="dxa"/>
            <w:shd w:val="clear" w:color="auto" w:fill="auto"/>
          </w:tcPr>
          <w:p w14:paraId="2AD762E6" w14:textId="77777777" w:rsidR="00814530" w:rsidRPr="00543231" w:rsidRDefault="00814530" w:rsidP="00814530">
            <w:pPr>
              <w:rPr>
                <w:rFonts w:ascii="Arial" w:hAnsi="Arial" w:cs="Arial"/>
              </w:rPr>
            </w:pPr>
            <w:r w:rsidRPr="0054323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</w:t>
            </w:r>
            <w:r w:rsidRPr="00543231">
              <w:rPr>
                <w:rFonts w:ascii="Arial" w:hAnsi="Arial" w:cs="Arial"/>
              </w:rPr>
              <w:t>chool has clear and visible policies and procedures for managing whistle-blowing and complaints</w:t>
            </w:r>
          </w:p>
        </w:tc>
        <w:tc>
          <w:tcPr>
            <w:tcW w:w="1559" w:type="dxa"/>
            <w:shd w:val="clear" w:color="auto" w:fill="auto"/>
          </w:tcPr>
          <w:p w14:paraId="23F9E2DB" w14:textId="03AE8FEB" w:rsidR="00814530" w:rsidRPr="00B153E8" w:rsidRDefault="009A6A6F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639AD">
              <w:rPr>
                <w:rFonts w:ascii="Arial" w:hAnsi="Arial" w:cs="Arial"/>
              </w:rPr>
              <w:t>eadteacher</w:t>
            </w:r>
          </w:p>
        </w:tc>
        <w:tc>
          <w:tcPr>
            <w:tcW w:w="1486" w:type="dxa"/>
            <w:shd w:val="clear" w:color="auto" w:fill="auto"/>
          </w:tcPr>
          <w:p w14:paraId="4480A21B" w14:textId="09B5ED43" w:rsidR="006138AA" w:rsidRPr="00F97B13" w:rsidRDefault="001072DD" w:rsidP="00C946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15D7C8A4" w14:textId="77777777" w:rsidR="00814530" w:rsidRPr="00B153E8" w:rsidRDefault="00814530" w:rsidP="00C946EE">
            <w:pPr>
              <w:rPr>
                <w:rFonts w:ascii="Arial" w:hAnsi="Arial" w:cs="Arial"/>
              </w:rPr>
            </w:pPr>
          </w:p>
          <w:p w14:paraId="30933717" w14:textId="77777777" w:rsidR="00814530" w:rsidRPr="00B153E8" w:rsidRDefault="00814530" w:rsidP="009A6A6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4530" w14:paraId="2C1ED50D" w14:textId="77777777" w:rsidTr="00A14280">
        <w:trPr>
          <w:jc w:val="center"/>
        </w:trPr>
        <w:tc>
          <w:tcPr>
            <w:tcW w:w="2473" w:type="dxa"/>
            <w:vMerge w:val="restart"/>
            <w:shd w:val="clear" w:color="auto" w:fill="FFE599" w:themeFill="accent4" w:themeFillTint="66"/>
          </w:tcPr>
          <w:p w14:paraId="36B88380" w14:textId="77777777" w:rsidR="00814530" w:rsidRDefault="00814530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99A675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4AA8">
              <w:rPr>
                <w:rFonts w:ascii="Arial" w:hAnsi="Arial" w:cs="Arial"/>
                <w:b/>
              </w:rPr>
              <w:t>Management of space</w:t>
            </w:r>
          </w:p>
        </w:tc>
        <w:tc>
          <w:tcPr>
            <w:tcW w:w="2684" w:type="dxa"/>
            <w:shd w:val="clear" w:color="auto" w:fill="auto"/>
          </w:tcPr>
          <w:p w14:paraId="2493B1FE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Learners/staff are exposed by visiting speakers to messaging supportive of terrorism- or which contradicts ‘British Values’ of individual liberty and mutual respect and tolerance for those of different faiths and beliefs</w:t>
            </w:r>
          </w:p>
        </w:tc>
        <w:tc>
          <w:tcPr>
            <w:tcW w:w="2552" w:type="dxa"/>
            <w:shd w:val="clear" w:color="auto" w:fill="auto"/>
          </w:tcPr>
          <w:p w14:paraId="51202ECB" w14:textId="77777777" w:rsidR="00814530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>Speakers are signed in and collected by a member of staff and are not left alone with learners</w:t>
            </w:r>
            <w:r w:rsidR="006138AA">
              <w:rPr>
                <w:rFonts w:ascii="Arial" w:hAnsi="Arial" w:cs="Arial"/>
              </w:rPr>
              <w:t xml:space="preserve"> </w:t>
            </w:r>
          </w:p>
          <w:p w14:paraId="5AB01390" w14:textId="77777777" w:rsidR="006138AA" w:rsidRDefault="006138AA" w:rsidP="00C946EE">
            <w:pPr>
              <w:spacing w:after="0" w:line="240" w:lineRule="auto"/>
              <w:rPr>
                <w:rFonts w:ascii="Arial" w:hAnsi="Arial" w:cs="Arial"/>
              </w:rPr>
            </w:pPr>
          </w:p>
          <w:p w14:paraId="71AD30A8" w14:textId="77777777" w:rsidR="007004E7" w:rsidRPr="00984BE6" w:rsidRDefault="007004E7" w:rsidP="00C946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 visitors sign a copy for the school file and recorded with SCR.  </w:t>
            </w:r>
          </w:p>
        </w:tc>
        <w:tc>
          <w:tcPr>
            <w:tcW w:w="2634" w:type="dxa"/>
            <w:shd w:val="clear" w:color="auto" w:fill="auto"/>
          </w:tcPr>
          <w:p w14:paraId="1C30966B" w14:textId="68D21B59" w:rsidR="00814530" w:rsidRDefault="00F97B13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14530" w:rsidRPr="004A4756">
              <w:rPr>
                <w:rFonts w:ascii="Arial" w:hAnsi="Arial" w:cs="Arial"/>
              </w:rPr>
              <w:t xml:space="preserve">o events, talks or relationship with external bodies promote </w:t>
            </w:r>
            <w:r w:rsidR="00814530">
              <w:rPr>
                <w:rFonts w:ascii="Arial" w:hAnsi="Arial" w:cs="Arial"/>
              </w:rPr>
              <w:t>violent extremism.</w:t>
            </w:r>
            <w:r w:rsidR="00B153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B153E8">
              <w:rPr>
                <w:rFonts w:ascii="Arial" w:hAnsi="Arial" w:cs="Arial"/>
              </w:rPr>
              <w:t>here are no</w:t>
            </w:r>
            <w:r w:rsidR="00814530">
              <w:rPr>
                <w:rFonts w:ascii="Arial" w:hAnsi="Arial" w:cs="Arial"/>
              </w:rPr>
              <w:t xml:space="preserve"> concerns </w:t>
            </w:r>
            <w:r w:rsidR="00A14280">
              <w:rPr>
                <w:rFonts w:ascii="Arial" w:hAnsi="Arial" w:cs="Arial"/>
              </w:rPr>
              <w:t xml:space="preserve">that </w:t>
            </w:r>
            <w:r w:rsidR="00814530">
              <w:rPr>
                <w:rFonts w:ascii="Arial" w:hAnsi="Arial" w:cs="Arial"/>
              </w:rPr>
              <w:t>visiting speakers</w:t>
            </w:r>
            <w:r w:rsidR="00814530" w:rsidRPr="00430B30">
              <w:rPr>
                <w:rFonts w:ascii="Arial" w:hAnsi="Arial" w:cs="Arial"/>
              </w:rPr>
              <w:t xml:space="preserve"> could</w:t>
            </w:r>
            <w:r w:rsidR="004026F7">
              <w:rPr>
                <w:rFonts w:ascii="Arial" w:hAnsi="Arial" w:cs="Arial"/>
              </w:rPr>
              <w:t>/</w:t>
            </w:r>
            <w:r w:rsidR="00814530" w:rsidRPr="00430B30">
              <w:rPr>
                <w:rFonts w:ascii="Arial" w:hAnsi="Arial" w:cs="Arial"/>
              </w:rPr>
              <w:t xml:space="preserve"> </w:t>
            </w:r>
            <w:r w:rsidR="00A14280">
              <w:rPr>
                <w:rFonts w:ascii="Arial" w:hAnsi="Arial" w:cs="Arial"/>
              </w:rPr>
              <w:t>may undermine or contradict</w:t>
            </w:r>
            <w:r w:rsidR="00814530" w:rsidRPr="00430B30">
              <w:rPr>
                <w:rFonts w:ascii="Arial" w:hAnsi="Arial" w:cs="Arial"/>
              </w:rPr>
              <w:t xml:space="preserve"> </w:t>
            </w:r>
            <w:r w:rsidR="00B153E8">
              <w:rPr>
                <w:rFonts w:ascii="Arial" w:hAnsi="Arial" w:cs="Arial"/>
              </w:rPr>
              <w:t>the school’s vision and</w:t>
            </w:r>
            <w:r w:rsidR="00814530" w:rsidRPr="00430B30">
              <w:rPr>
                <w:rFonts w:ascii="Arial" w:hAnsi="Arial" w:cs="Arial"/>
              </w:rPr>
              <w:t xml:space="preserve"> values, or breach UK law, the Human Rights Act 1998 and the Equality Act 2010</w:t>
            </w:r>
            <w:r w:rsidR="00B153E8">
              <w:rPr>
                <w:rFonts w:ascii="Arial" w:hAnsi="Arial" w:cs="Arial"/>
              </w:rPr>
              <w:t>.</w:t>
            </w:r>
          </w:p>
          <w:p w14:paraId="0F07443E" w14:textId="77777777" w:rsidR="00814530" w:rsidRPr="004A4756" w:rsidRDefault="00814530" w:rsidP="00C946E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4D1A8EF" w14:textId="7AF0E50E" w:rsidR="00814530" w:rsidRPr="00B153E8" w:rsidRDefault="00F97B13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  <w:tc>
          <w:tcPr>
            <w:tcW w:w="1486" w:type="dxa"/>
            <w:shd w:val="clear" w:color="auto" w:fill="auto"/>
          </w:tcPr>
          <w:p w14:paraId="1A4AAB53" w14:textId="77777777" w:rsidR="00814530" w:rsidRPr="00B153E8" w:rsidRDefault="00F97B13" w:rsidP="00700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3D9B421B" w14:textId="77777777" w:rsidR="00814530" w:rsidRDefault="00814530" w:rsidP="00C946EE">
            <w:pPr>
              <w:rPr>
                <w:rFonts w:ascii="Arial" w:hAnsi="Arial" w:cs="Arial"/>
              </w:rPr>
            </w:pPr>
          </w:p>
          <w:p w14:paraId="0843CD12" w14:textId="692E2E34" w:rsidR="00A14280" w:rsidRPr="00A14280" w:rsidRDefault="00A14280" w:rsidP="00C946EE">
            <w:pPr>
              <w:rPr>
                <w:rFonts w:ascii="Arial" w:hAnsi="Arial" w:cs="Arial"/>
                <w:b/>
              </w:rPr>
            </w:pPr>
          </w:p>
        </w:tc>
      </w:tr>
      <w:tr w:rsidR="00814530" w14:paraId="70FCA14E" w14:textId="77777777" w:rsidTr="007B653D">
        <w:trPr>
          <w:jc w:val="center"/>
        </w:trPr>
        <w:tc>
          <w:tcPr>
            <w:tcW w:w="2473" w:type="dxa"/>
            <w:vMerge/>
            <w:shd w:val="clear" w:color="auto" w:fill="FFE599" w:themeFill="accent4" w:themeFillTint="66"/>
          </w:tcPr>
          <w:p w14:paraId="35E01F54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auto"/>
          </w:tcPr>
          <w:p w14:paraId="721E978E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Extremist or terrorist related material is displayed within school premises</w:t>
            </w:r>
          </w:p>
        </w:tc>
        <w:tc>
          <w:tcPr>
            <w:tcW w:w="2552" w:type="dxa"/>
            <w:shd w:val="clear" w:color="auto" w:fill="auto"/>
          </w:tcPr>
          <w:p w14:paraId="1AA90BB7" w14:textId="77777777" w:rsidR="00814530" w:rsidRPr="00984BE6" w:rsidRDefault="007B653D" w:rsidP="007B65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Vigilance of</w:t>
            </w:r>
            <w:r w:rsidR="00814530" w:rsidRPr="00984BE6">
              <w:rPr>
                <w:rFonts w:ascii="Arial" w:hAnsi="Arial" w:cs="Arial"/>
              </w:rPr>
              <w:t xml:space="preserve"> display materials within school premises</w:t>
            </w:r>
          </w:p>
        </w:tc>
        <w:tc>
          <w:tcPr>
            <w:tcW w:w="2634" w:type="dxa"/>
            <w:shd w:val="clear" w:color="auto" w:fill="auto"/>
          </w:tcPr>
          <w:p w14:paraId="623318F6" w14:textId="0275B70B" w:rsidR="00814530" w:rsidRPr="00C83812" w:rsidRDefault="00814530" w:rsidP="007B6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Displays regarding </w:t>
            </w:r>
            <w:r w:rsidR="007B653D">
              <w:rPr>
                <w:rFonts w:ascii="Arial" w:hAnsi="Arial" w:cs="Arial"/>
              </w:rPr>
              <w:t>the school’s values</w:t>
            </w:r>
            <w:r>
              <w:rPr>
                <w:rFonts w:ascii="Arial" w:hAnsi="Arial" w:cs="Arial"/>
              </w:rPr>
              <w:t xml:space="preserve">, British </w:t>
            </w:r>
            <w:r w:rsidR="007B653D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alues </w:t>
            </w:r>
            <w:r w:rsidR="007B653D">
              <w:rPr>
                <w:rFonts w:ascii="Arial" w:hAnsi="Arial" w:cs="Arial"/>
              </w:rPr>
              <w:t>e.g. School Council, code o</w:t>
            </w:r>
            <w:r w:rsidR="00F97B13">
              <w:rPr>
                <w:rFonts w:ascii="Arial" w:hAnsi="Arial" w:cs="Arial"/>
              </w:rPr>
              <w:t>f conduct.</w:t>
            </w:r>
          </w:p>
        </w:tc>
        <w:tc>
          <w:tcPr>
            <w:tcW w:w="1559" w:type="dxa"/>
            <w:shd w:val="clear" w:color="auto" w:fill="auto"/>
          </w:tcPr>
          <w:p w14:paraId="5D517905" w14:textId="1FA908FB" w:rsidR="00814530" w:rsidRPr="00B153E8" w:rsidRDefault="00F97B13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A6A6F">
              <w:rPr>
                <w:rFonts w:ascii="Arial" w:hAnsi="Arial" w:cs="Arial"/>
              </w:rPr>
              <w:t>eadteacher</w:t>
            </w:r>
          </w:p>
        </w:tc>
        <w:tc>
          <w:tcPr>
            <w:tcW w:w="1486" w:type="dxa"/>
            <w:shd w:val="clear" w:color="auto" w:fill="auto"/>
          </w:tcPr>
          <w:p w14:paraId="199CA4FD" w14:textId="037D8C22" w:rsidR="00814530" w:rsidRPr="00B153E8" w:rsidRDefault="001F7146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29722E2A" w14:textId="77777777" w:rsidR="00814530" w:rsidRDefault="00814530" w:rsidP="00C946EE">
            <w:pPr>
              <w:rPr>
                <w:rFonts w:ascii="Arial" w:hAnsi="Arial" w:cs="Arial"/>
              </w:rPr>
            </w:pPr>
          </w:p>
          <w:p w14:paraId="1C61DA33" w14:textId="37B63675" w:rsidR="007B653D" w:rsidRPr="007B653D" w:rsidRDefault="007B653D" w:rsidP="00C946EE">
            <w:pPr>
              <w:rPr>
                <w:rFonts w:ascii="Arial" w:hAnsi="Arial" w:cs="Arial"/>
                <w:b/>
              </w:rPr>
            </w:pPr>
          </w:p>
        </w:tc>
      </w:tr>
      <w:tr w:rsidR="00814530" w14:paraId="3C87ADB4" w14:textId="77777777" w:rsidTr="004B35BB">
        <w:trPr>
          <w:trHeight w:val="1982"/>
          <w:jc w:val="center"/>
        </w:trPr>
        <w:tc>
          <w:tcPr>
            <w:tcW w:w="2473" w:type="dxa"/>
            <w:vMerge/>
            <w:shd w:val="clear" w:color="auto" w:fill="FFE599" w:themeFill="accent4" w:themeFillTint="66"/>
          </w:tcPr>
          <w:p w14:paraId="26C511D1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auto"/>
          </w:tcPr>
          <w:p w14:paraId="714948BA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 xml:space="preserve">School premises are used to host events supportive of terrorism, or which popularise hatred or intolerance of those with particular protected characteristics </w:t>
            </w:r>
          </w:p>
        </w:tc>
        <w:tc>
          <w:tcPr>
            <w:tcW w:w="2552" w:type="dxa"/>
            <w:shd w:val="clear" w:color="auto" w:fill="auto"/>
          </w:tcPr>
          <w:p w14:paraId="2378048E" w14:textId="77777777" w:rsidR="00814530" w:rsidRPr="00984BE6" w:rsidRDefault="00814530" w:rsidP="00F97B13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 xml:space="preserve">Room booking </w:t>
            </w:r>
            <w:r w:rsidR="004B35BB">
              <w:rPr>
                <w:rFonts w:ascii="Arial" w:hAnsi="Arial" w:cs="Arial"/>
              </w:rPr>
              <w:t xml:space="preserve">and </w:t>
            </w:r>
            <w:r w:rsidRPr="00984BE6">
              <w:rPr>
                <w:rFonts w:ascii="Arial" w:hAnsi="Arial" w:cs="Arial"/>
              </w:rPr>
              <w:t>checking arrangements for external organisations</w:t>
            </w:r>
            <w:r w:rsidR="004B35BB">
              <w:rPr>
                <w:rFonts w:ascii="Arial" w:hAnsi="Arial" w:cs="Arial"/>
              </w:rPr>
              <w:t xml:space="preserve"> is managed by the </w:t>
            </w:r>
            <w:r w:rsidR="00F97B13">
              <w:rPr>
                <w:rFonts w:ascii="Arial" w:hAnsi="Arial" w:cs="Arial"/>
              </w:rPr>
              <w:t>School Business Manager</w:t>
            </w:r>
          </w:p>
        </w:tc>
        <w:tc>
          <w:tcPr>
            <w:tcW w:w="2634" w:type="dxa"/>
            <w:shd w:val="clear" w:color="auto" w:fill="auto"/>
          </w:tcPr>
          <w:p w14:paraId="4E536E29" w14:textId="77777777" w:rsidR="00814530" w:rsidRPr="00A65344" w:rsidRDefault="00F97B13" w:rsidP="00C946EE">
            <w:r>
              <w:rPr>
                <w:rFonts w:ascii="Arial" w:hAnsi="Arial" w:cs="Arial"/>
              </w:rPr>
              <w:t>N</w:t>
            </w:r>
            <w:r w:rsidR="00814530" w:rsidRPr="004A4756">
              <w:rPr>
                <w:rFonts w:ascii="Arial" w:hAnsi="Arial" w:cs="Arial"/>
              </w:rPr>
              <w:t>o events, talks or relationship with external bodies promote radicalism</w:t>
            </w:r>
            <w:r w:rsidR="00814530" w:rsidRPr="004A4756">
              <w:t>.</w:t>
            </w:r>
          </w:p>
        </w:tc>
        <w:tc>
          <w:tcPr>
            <w:tcW w:w="1559" w:type="dxa"/>
            <w:shd w:val="clear" w:color="auto" w:fill="auto"/>
          </w:tcPr>
          <w:p w14:paraId="71B60C09" w14:textId="77777777" w:rsidR="00814530" w:rsidRPr="00B153E8" w:rsidRDefault="00F97B13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Business Manager</w:t>
            </w:r>
          </w:p>
        </w:tc>
        <w:tc>
          <w:tcPr>
            <w:tcW w:w="1486" w:type="dxa"/>
            <w:shd w:val="clear" w:color="auto" w:fill="auto"/>
          </w:tcPr>
          <w:p w14:paraId="6FF899BF" w14:textId="77777777" w:rsidR="00814530" w:rsidRPr="00B153E8" w:rsidRDefault="007004E7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2F2F248E" w14:textId="77777777" w:rsidR="00814530" w:rsidRDefault="00814530" w:rsidP="00C946EE">
            <w:pPr>
              <w:rPr>
                <w:rFonts w:ascii="Arial" w:hAnsi="Arial" w:cs="Arial"/>
              </w:rPr>
            </w:pPr>
          </w:p>
          <w:p w14:paraId="3E9A3247" w14:textId="3188A111" w:rsidR="004B35BB" w:rsidRPr="004B35BB" w:rsidRDefault="004B35BB" w:rsidP="00C946EE">
            <w:pPr>
              <w:rPr>
                <w:rFonts w:ascii="Arial" w:hAnsi="Arial" w:cs="Arial"/>
                <w:b/>
              </w:rPr>
            </w:pPr>
          </w:p>
        </w:tc>
      </w:tr>
      <w:tr w:rsidR="00814530" w14:paraId="77EA7DD9" w14:textId="77777777" w:rsidTr="001405F5">
        <w:trPr>
          <w:trHeight w:val="3101"/>
          <w:jc w:val="center"/>
        </w:trPr>
        <w:tc>
          <w:tcPr>
            <w:tcW w:w="2473" w:type="dxa"/>
            <w:vMerge w:val="restart"/>
            <w:shd w:val="clear" w:color="auto" w:fill="AEAAAA" w:themeFill="background2" w:themeFillShade="BF"/>
          </w:tcPr>
          <w:p w14:paraId="3C1F990C" w14:textId="77777777" w:rsidR="00814530" w:rsidRDefault="00814530" w:rsidP="00C946EE">
            <w:pPr>
              <w:jc w:val="center"/>
              <w:rPr>
                <w:rFonts w:ascii="Arial" w:hAnsi="Arial" w:cs="Arial"/>
              </w:rPr>
            </w:pPr>
          </w:p>
          <w:p w14:paraId="233F4637" w14:textId="77777777" w:rsidR="00814530" w:rsidRPr="00430B30" w:rsidRDefault="00814530" w:rsidP="00C94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and Online Safety</w:t>
            </w:r>
          </w:p>
        </w:tc>
        <w:tc>
          <w:tcPr>
            <w:tcW w:w="2684" w:type="dxa"/>
            <w:shd w:val="clear" w:color="auto" w:fill="auto"/>
          </w:tcPr>
          <w:p w14:paraId="4D757230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</w:p>
          <w:p w14:paraId="2DAA7CD9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Learners access extremist or terrorist material whilst using school networks</w:t>
            </w:r>
          </w:p>
        </w:tc>
        <w:tc>
          <w:tcPr>
            <w:tcW w:w="2552" w:type="dxa"/>
            <w:shd w:val="clear" w:color="auto" w:fill="auto"/>
          </w:tcPr>
          <w:p w14:paraId="67FBBCE0" w14:textId="77777777" w:rsidR="00814530" w:rsidRDefault="00814530" w:rsidP="001405F5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 xml:space="preserve">School </w:t>
            </w:r>
            <w:r w:rsidR="004B35BB">
              <w:rPr>
                <w:rFonts w:ascii="Arial" w:hAnsi="Arial" w:cs="Arial"/>
              </w:rPr>
              <w:t xml:space="preserve">filters are managed by LA IT technician; there is </w:t>
            </w:r>
            <w:r w:rsidR="001405F5">
              <w:rPr>
                <w:rFonts w:ascii="Arial" w:hAnsi="Arial" w:cs="Arial"/>
              </w:rPr>
              <w:t>a</w:t>
            </w:r>
            <w:r w:rsidRPr="00984BE6">
              <w:rPr>
                <w:rFonts w:ascii="Arial" w:hAnsi="Arial" w:cs="Arial"/>
              </w:rPr>
              <w:t xml:space="preserve"> code of conduct </w:t>
            </w:r>
            <w:r w:rsidR="001405F5">
              <w:rPr>
                <w:rFonts w:ascii="Arial" w:hAnsi="Arial" w:cs="Arial"/>
              </w:rPr>
              <w:t>for IT users</w:t>
            </w:r>
          </w:p>
          <w:p w14:paraId="2659D033" w14:textId="77777777" w:rsidR="004026F7" w:rsidRDefault="004026F7" w:rsidP="001405F5">
            <w:pPr>
              <w:spacing w:after="0" w:line="240" w:lineRule="auto"/>
              <w:rPr>
                <w:rFonts w:ascii="Arial" w:hAnsi="Arial" w:cs="Arial"/>
              </w:rPr>
            </w:pPr>
          </w:p>
          <w:p w14:paraId="00844968" w14:textId="0830171A" w:rsidR="004026F7" w:rsidRPr="00984BE6" w:rsidRDefault="004026F7" w:rsidP="001405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potential breaches by students are reported online to member of SLT</w:t>
            </w:r>
          </w:p>
        </w:tc>
        <w:tc>
          <w:tcPr>
            <w:tcW w:w="2634" w:type="dxa"/>
            <w:shd w:val="clear" w:color="auto" w:fill="auto"/>
          </w:tcPr>
          <w:p w14:paraId="6E00D393" w14:textId="77777777" w:rsidR="00814530" w:rsidRDefault="00814530" w:rsidP="00C946EE">
            <w:r>
              <w:rPr>
                <w:rFonts w:ascii="Arial" w:hAnsi="Arial" w:cs="Arial"/>
              </w:rPr>
              <w:t xml:space="preserve">Staff and pupils </w:t>
            </w:r>
            <w:r w:rsidRPr="00543231">
              <w:rPr>
                <w:rFonts w:ascii="Arial" w:hAnsi="Arial" w:cs="Arial"/>
              </w:rPr>
              <w:t>understand what terrorist/extremist material looks like and are confident to share concerns through the appropriate processes if they do encounter access to this material</w:t>
            </w:r>
          </w:p>
          <w:p w14:paraId="30C1A278" w14:textId="77777777" w:rsidR="00814530" w:rsidRPr="00A65344" w:rsidRDefault="00814530" w:rsidP="00C946EE"/>
        </w:tc>
        <w:tc>
          <w:tcPr>
            <w:tcW w:w="1559" w:type="dxa"/>
            <w:vMerge w:val="restart"/>
            <w:shd w:val="clear" w:color="auto" w:fill="auto"/>
          </w:tcPr>
          <w:p w14:paraId="007E5FA6" w14:textId="77777777" w:rsidR="00814530" w:rsidRDefault="001405F5" w:rsidP="005E6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 Subject Leader</w:t>
            </w:r>
            <w:r w:rsidR="005E6A7C">
              <w:rPr>
                <w:rFonts w:ascii="Arial" w:hAnsi="Arial" w:cs="Arial"/>
              </w:rPr>
              <w:t xml:space="preserve"> and IT Technician</w:t>
            </w:r>
          </w:p>
          <w:p w14:paraId="0F82A28C" w14:textId="4D0C2A33" w:rsidR="004026F7" w:rsidRPr="00B153E8" w:rsidRDefault="004026F7" w:rsidP="005E6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DSL</w:t>
            </w:r>
          </w:p>
        </w:tc>
        <w:tc>
          <w:tcPr>
            <w:tcW w:w="1486" w:type="dxa"/>
            <w:vMerge w:val="restart"/>
            <w:shd w:val="clear" w:color="auto" w:fill="auto"/>
          </w:tcPr>
          <w:p w14:paraId="21A29D3E" w14:textId="77777777" w:rsidR="00814530" w:rsidRPr="00B153E8" w:rsidRDefault="007004E7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through </w:t>
            </w:r>
            <w:proofErr w:type="spellStart"/>
            <w:r>
              <w:rPr>
                <w:rFonts w:ascii="Arial" w:hAnsi="Arial" w:cs="Arial"/>
              </w:rPr>
              <w:t>Smoothwall</w:t>
            </w:r>
            <w:proofErr w:type="spellEnd"/>
            <w:r>
              <w:rPr>
                <w:rFonts w:ascii="Arial" w:hAnsi="Arial" w:cs="Arial"/>
              </w:rPr>
              <w:t xml:space="preserve"> system and daily emails</w:t>
            </w:r>
          </w:p>
        </w:tc>
        <w:tc>
          <w:tcPr>
            <w:tcW w:w="1286" w:type="dxa"/>
            <w:vMerge w:val="restart"/>
            <w:shd w:val="clear" w:color="auto" w:fill="92D050"/>
          </w:tcPr>
          <w:p w14:paraId="767718D4" w14:textId="77777777" w:rsidR="00814530" w:rsidRDefault="00814530" w:rsidP="00C946EE">
            <w:pPr>
              <w:rPr>
                <w:rFonts w:ascii="Arial" w:hAnsi="Arial" w:cs="Arial"/>
              </w:rPr>
            </w:pPr>
          </w:p>
          <w:p w14:paraId="52007DE4" w14:textId="3EDD92E8" w:rsidR="001405F5" w:rsidRPr="001405F5" w:rsidRDefault="001405F5" w:rsidP="00C946EE">
            <w:pPr>
              <w:rPr>
                <w:rFonts w:ascii="Arial" w:hAnsi="Arial" w:cs="Arial"/>
                <w:b/>
              </w:rPr>
            </w:pPr>
          </w:p>
        </w:tc>
      </w:tr>
      <w:tr w:rsidR="00814530" w14:paraId="48F520DD" w14:textId="77777777" w:rsidTr="001405F5">
        <w:trPr>
          <w:trHeight w:val="2325"/>
          <w:jc w:val="center"/>
        </w:trPr>
        <w:tc>
          <w:tcPr>
            <w:tcW w:w="2473" w:type="dxa"/>
            <w:vMerge/>
            <w:shd w:val="clear" w:color="auto" w:fill="AEAAAA" w:themeFill="background2" w:themeFillShade="BF"/>
          </w:tcPr>
          <w:p w14:paraId="79EAEEDB" w14:textId="77777777" w:rsidR="00814530" w:rsidRPr="00430B30" w:rsidRDefault="00814530" w:rsidP="00C946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auto"/>
          </w:tcPr>
          <w:p w14:paraId="44DA3FAB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  <w:r w:rsidRPr="003E4AA8">
              <w:rPr>
                <w:rFonts w:ascii="Arial" w:hAnsi="Arial" w:cs="Arial"/>
              </w:rPr>
              <w:t>Online/social media communications relating to extremist or terrorist material feature the school's branding</w:t>
            </w:r>
          </w:p>
          <w:p w14:paraId="03C9638F" w14:textId="77777777" w:rsidR="00814530" w:rsidRPr="003E4AA8" w:rsidRDefault="00814530" w:rsidP="00C94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5FFD0FA8" w14:textId="36A33B2B" w:rsidR="00814530" w:rsidRPr="00984BE6" w:rsidRDefault="00814530" w:rsidP="005E6A7C">
            <w:pPr>
              <w:spacing w:after="0" w:line="240" w:lineRule="auto"/>
              <w:rPr>
                <w:rFonts w:ascii="Arial" w:hAnsi="Arial" w:cs="Arial"/>
              </w:rPr>
            </w:pPr>
            <w:r w:rsidRPr="00984BE6">
              <w:rPr>
                <w:rFonts w:ascii="Arial" w:hAnsi="Arial" w:cs="Arial"/>
              </w:rPr>
              <w:t xml:space="preserve">The school </w:t>
            </w:r>
            <w:r w:rsidR="005E6A7C">
              <w:rPr>
                <w:rFonts w:ascii="Arial" w:hAnsi="Arial" w:cs="Arial"/>
              </w:rPr>
              <w:t>does not utilise social media sites</w:t>
            </w:r>
            <w:r w:rsidR="004026F7">
              <w:rPr>
                <w:rFonts w:ascii="Arial" w:hAnsi="Arial" w:cs="Arial"/>
              </w:rPr>
              <w:t xml:space="preserve"> other than Facebook</w:t>
            </w:r>
            <w:r w:rsidR="005E6A7C">
              <w:rPr>
                <w:rFonts w:ascii="Arial" w:hAnsi="Arial" w:cs="Arial"/>
              </w:rPr>
              <w:t>; filtering system in place</w:t>
            </w:r>
          </w:p>
        </w:tc>
        <w:tc>
          <w:tcPr>
            <w:tcW w:w="2634" w:type="dxa"/>
            <w:shd w:val="clear" w:color="auto" w:fill="auto"/>
          </w:tcPr>
          <w:p w14:paraId="0A4E8E67" w14:textId="77777777" w:rsidR="00814530" w:rsidRPr="00543231" w:rsidRDefault="005E6A7C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concerns about</w:t>
            </w:r>
            <w:r w:rsidR="00814530" w:rsidRPr="00543231">
              <w:rPr>
                <w:rFonts w:ascii="Arial" w:hAnsi="Arial" w:cs="Arial"/>
              </w:rPr>
              <w:t xml:space="preserve"> the on-line behaviour of a learner </w:t>
            </w:r>
            <w:r>
              <w:rPr>
                <w:rFonts w:ascii="Arial" w:hAnsi="Arial" w:cs="Arial"/>
              </w:rPr>
              <w:t xml:space="preserve">are reported </w:t>
            </w:r>
            <w:r w:rsidR="00814530" w:rsidRPr="00543231">
              <w:rPr>
                <w:rFonts w:ascii="Arial" w:hAnsi="Arial" w:cs="Arial"/>
              </w:rPr>
              <w:t>directly to the Safeguarding Team</w:t>
            </w:r>
          </w:p>
        </w:tc>
        <w:tc>
          <w:tcPr>
            <w:tcW w:w="1559" w:type="dxa"/>
            <w:vMerge/>
            <w:shd w:val="clear" w:color="auto" w:fill="auto"/>
          </w:tcPr>
          <w:p w14:paraId="02B9CE41" w14:textId="77777777" w:rsidR="00814530" w:rsidRPr="00B153E8" w:rsidRDefault="00814530" w:rsidP="00C946EE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14:paraId="2D2A3602" w14:textId="77777777" w:rsidR="00814530" w:rsidRPr="00B153E8" w:rsidRDefault="00814530" w:rsidP="00C946EE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shd w:val="clear" w:color="auto" w:fill="92D050"/>
          </w:tcPr>
          <w:p w14:paraId="4766AC84" w14:textId="77777777" w:rsidR="00814530" w:rsidRPr="00B153E8" w:rsidRDefault="00814530" w:rsidP="00C946EE">
            <w:pPr>
              <w:rPr>
                <w:rFonts w:ascii="Arial" w:hAnsi="Arial" w:cs="Arial"/>
              </w:rPr>
            </w:pPr>
          </w:p>
        </w:tc>
      </w:tr>
      <w:tr w:rsidR="00814530" w14:paraId="1A6C6F39" w14:textId="77777777" w:rsidTr="00381B73">
        <w:trPr>
          <w:trHeight w:val="1726"/>
          <w:jc w:val="center"/>
        </w:trPr>
        <w:tc>
          <w:tcPr>
            <w:tcW w:w="2473" w:type="dxa"/>
            <w:vMerge w:val="restart"/>
            <w:shd w:val="clear" w:color="auto" w:fill="C9C9C9" w:themeFill="accent3" w:themeFillTint="99"/>
          </w:tcPr>
          <w:p w14:paraId="7EFAA11D" w14:textId="77777777" w:rsidR="00381B73" w:rsidRDefault="00381B73" w:rsidP="00C946EE">
            <w:pPr>
              <w:rPr>
                <w:rFonts w:ascii="Arial" w:hAnsi="Arial" w:cs="Arial"/>
                <w:b/>
              </w:rPr>
            </w:pPr>
          </w:p>
          <w:p w14:paraId="7003C5C6" w14:textId="77777777" w:rsidR="00814530" w:rsidRPr="003E4AA8" w:rsidRDefault="00381B73" w:rsidP="00C946EE">
            <w:pPr>
              <w:rPr>
                <w:rFonts w:ascii="Arial" w:hAnsi="Arial" w:cs="Arial"/>
                <w:b/>
              </w:rPr>
            </w:pPr>
            <w:r w:rsidRPr="003E4AA8">
              <w:rPr>
                <w:rFonts w:ascii="Arial" w:hAnsi="Arial" w:cs="Arial"/>
                <w:b/>
              </w:rPr>
              <w:t>External /Community Factors</w:t>
            </w:r>
          </w:p>
        </w:tc>
        <w:tc>
          <w:tcPr>
            <w:tcW w:w="2684" w:type="dxa"/>
            <w:shd w:val="clear" w:color="auto" w:fill="auto"/>
          </w:tcPr>
          <w:p w14:paraId="5BC74107" w14:textId="77777777" w:rsidR="00814530" w:rsidRPr="00D95D38" w:rsidRDefault="00814530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D95D38">
              <w:rPr>
                <w:rFonts w:ascii="Arial" w:hAnsi="Arial" w:cs="Arial"/>
              </w:rPr>
              <w:t xml:space="preserve">school </w:t>
            </w:r>
            <w:r>
              <w:rPr>
                <w:rFonts w:ascii="Arial" w:hAnsi="Arial" w:cs="Arial"/>
              </w:rPr>
              <w:t xml:space="preserve">is </w:t>
            </w:r>
            <w:r w:rsidRPr="00D95D38">
              <w:rPr>
                <w:rFonts w:ascii="Arial" w:hAnsi="Arial" w:cs="Arial"/>
              </w:rPr>
              <w:t>aware of the e</w:t>
            </w:r>
            <w:r>
              <w:rPr>
                <w:rFonts w:ascii="Arial" w:hAnsi="Arial" w:cs="Arial"/>
              </w:rPr>
              <w:t xml:space="preserve">xistence of extremist groups in </w:t>
            </w:r>
            <w:r w:rsidRPr="00D95D38">
              <w:rPr>
                <w:rFonts w:ascii="Arial" w:hAnsi="Arial" w:cs="Arial"/>
              </w:rPr>
              <w:t xml:space="preserve">the community and their potential impact on its staff </w:t>
            </w:r>
            <w:r>
              <w:rPr>
                <w:rFonts w:ascii="Arial" w:hAnsi="Arial" w:cs="Arial"/>
              </w:rPr>
              <w:t>and students.</w:t>
            </w:r>
          </w:p>
        </w:tc>
        <w:tc>
          <w:tcPr>
            <w:tcW w:w="2552" w:type="dxa"/>
            <w:shd w:val="clear" w:color="auto" w:fill="auto"/>
          </w:tcPr>
          <w:p w14:paraId="06168C61" w14:textId="77777777" w:rsidR="00814530" w:rsidRPr="001414EE" w:rsidRDefault="00814530" w:rsidP="00C946EE">
            <w:pPr>
              <w:rPr>
                <w:rFonts w:ascii="Arial" w:hAnsi="Arial" w:cs="Arial"/>
              </w:rPr>
            </w:pPr>
            <w:r w:rsidRPr="001414EE">
              <w:rPr>
                <w:rFonts w:ascii="Arial" w:hAnsi="Arial" w:cs="Arial"/>
              </w:rPr>
              <w:t>Sussex Educational Premises Extremism Risk Assessment</w:t>
            </w:r>
            <w:r>
              <w:rPr>
                <w:rFonts w:ascii="Arial" w:hAnsi="Arial" w:cs="Arial"/>
              </w:rPr>
              <w:t xml:space="preserve"> – relevant areas incorporated into this assessment</w:t>
            </w:r>
          </w:p>
        </w:tc>
        <w:tc>
          <w:tcPr>
            <w:tcW w:w="2634" w:type="dxa"/>
            <w:shd w:val="clear" w:color="auto" w:fill="auto"/>
          </w:tcPr>
          <w:p w14:paraId="2A1408C2" w14:textId="77777777" w:rsidR="00814530" w:rsidRPr="00381B73" w:rsidRDefault="00381B73" w:rsidP="00C946EE">
            <w:pPr>
              <w:rPr>
                <w:rFonts w:ascii="Arial" w:hAnsi="Arial" w:cs="Arial"/>
              </w:rPr>
            </w:pPr>
            <w:r w:rsidRPr="00381B73">
              <w:rPr>
                <w:rFonts w:ascii="Arial" w:hAnsi="Arial" w:cs="Arial"/>
              </w:rPr>
              <w:t>There is ongoing awareness of the current level of risk</w:t>
            </w:r>
          </w:p>
        </w:tc>
        <w:tc>
          <w:tcPr>
            <w:tcW w:w="1559" w:type="dxa"/>
            <w:shd w:val="clear" w:color="auto" w:fill="auto"/>
          </w:tcPr>
          <w:p w14:paraId="5DA0B1B2" w14:textId="265D171E" w:rsidR="00814530" w:rsidRPr="00B153E8" w:rsidRDefault="00F97B13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  <w:tc>
          <w:tcPr>
            <w:tcW w:w="1486" w:type="dxa"/>
            <w:shd w:val="clear" w:color="auto" w:fill="auto"/>
          </w:tcPr>
          <w:p w14:paraId="78CDF4D8" w14:textId="3C9F0209" w:rsidR="00814530" w:rsidRPr="00B153E8" w:rsidRDefault="001F7146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1036F3FD" w14:textId="77777777" w:rsidR="000B6850" w:rsidRDefault="000B6850" w:rsidP="00C946EE">
            <w:pPr>
              <w:rPr>
                <w:rFonts w:ascii="Arial" w:hAnsi="Arial" w:cs="Arial"/>
                <w:b/>
              </w:rPr>
            </w:pPr>
          </w:p>
          <w:p w14:paraId="273AEB95" w14:textId="4AE19259" w:rsidR="00381B73" w:rsidRPr="00381B73" w:rsidRDefault="00381B73" w:rsidP="00C946EE">
            <w:pPr>
              <w:rPr>
                <w:rFonts w:ascii="Arial" w:hAnsi="Arial" w:cs="Arial"/>
                <w:b/>
              </w:rPr>
            </w:pPr>
          </w:p>
        </w:tc>
      </w:tr>
      <w:tr w:rsidR="00814530" w14:paraId="70EAA13B" w14:textId="77777777" w:rsidTr="00C72DF4">
        <w:trPr>
          <w:trHeight w:val="2535"/>
          <w:jc w:val="center"/>
        </w:trPr>
        <w:tc>
          <w:tcPr>
            <w:tcW w:w="2473" w:type="dxa"/>
            <w:vMerge/>
            <w:shd w:val="clear" w:color="auto" w:fill="C9C9C9" w:themeFill="accent3" w:themeFillTint="99"/>
          </w:tcPr>
          <w:p w14:paraId="4CF3AB1C" w14:textId="77777777" w:rsidR="00814530" w:rsidRPr="003E4AA8" w:rsidRDefault="00814530" w:rsidP="00C946EE">
            <w:pPr>
              <w:rPr>
                <w:rFonts w:ascii="Arial" w:hAnsi="Arial" w:cs="Arial"/>
                <w:b/>
              </w:rPr>
            </w:pPr>
          </w:p>
        </w:tc>
        <w:tc>
          <w:tcPr>
            <w:tcW w:w="2684" w:type="dxa"/>
            <w:shd w:val="clear" w:color="auto" w:fill="auto"/>
          </w:tcPr>
          <w:p w14:paraId="3AF81D00" w14:textId="77777777" w:rsidR="00814530" w:rsidRDefault="00814530" w:rsidP="000B6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B685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chool is unaware of specific pupils who may be more vulnerable to the messages of violent extremism </w:t>
            </w:r>
          </w:p>
        </w:tc>
        <w:tc>
          <w:tcPr>
            <w:tcW w:w="2552" w:type="dxa"/>
            <w:shd w:val="clear" w:color="auto" w:fill="auto"/>
          </w:tcPr>
          <w:p w14:paraId="5B7D5BF2" w14:textId="63902604" w:rsidR="00814530" w:rsidRPr="001414EE" w:rsidRDefault="004026F7" w:rsidP="000B6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DSL and DDSLs</w:t>
            </w:r>
            <w:r w:rsidR="000B6850">
              <w:rPr>
                <w:rFonts w:ascii="Arial" w:hAnsi="Arial" w:cs="Arial"/>
              </w:rPr>
              <w:t xml:space="preserve"> completed online Prevent training to assist with early  identification of vulnerable pupils</w:t>
            </w:r>
          </w:p>
        </w:tc>
        <w:tc>
          <w:tcPr>
            <w:tcW w:w="2634" w:type="dxa"/>
            <w:shd w:val="clear" w:color="auto" w:fill="auto"/>
          </w:tcPr>
          <w:p w14:paraId="733D2FAC" w14:textId="77777777" w:rsidR="00814530" w:rsidRPr="009131FB" w:rsidRDefault="00C72DF4" w:rsidP="00C72D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Safeguarding Team will be informed about any pupils who may be vulnerable to potential terrorist influence </w:t>
            </w:r>
          </w:p>
        </w:tc>
        <w:tc>
          <w:tcPr>
            <w:tcW w:w="1559" w:type="dxa"/>
            <w:shd w:val="clear" w:color="auto" w:fill="auto"/>
          </w:tcPr>
          <w:p w14:paraId="0D5AD4BF" w14:textId="77777777" w:rsidR="00814530" w:rsidRPr="00B153E8" w:rsidRDefault="00C72DF4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Team</w:t>
            </w:r>
          </w:p>
        </w:tc>
        <w:tc>
          <w:tcPr>
            <w:tcW w:w="1486" w:type="dxa"/>
            <w:shd w:val="clear" w:color="auto" w:fill="auto"/>
          </w:tcPr>
          <w:p w14:paraId="70A04F38" w14:textId="62C58F60" w:rsidR="00814530" w:rsidRPr="00B153E8" w:rsidRDefault="001F7146" w:rsidP="00C94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286" w:type="dxa"/>
            <w:shd w:val="clear" w:color="auto" w:fill="92D050"/>
          </w:tcPr>
          <w:p w14:paraId="510BFB26" w14:textId="77777777" w:rsidR="00814530" w:rsidRDefault="00814530" w:rsidP="00C946EE">
            <w:pPr>
              <w:rPr>
                <w:rFonts w:ascii="Arial" w:hAnsi="Arial" w:cs="Arial"/>
              </w:rPr>
            </w:pPr>
          </w:p>
          <w:p w14:paraId="53AEB88B" w14:textId="477E5354" w:rsidR="00C72DF4" w:rsidRPr="00C72DF4" w:rsidRDefault="00C72DF4" w:rsidP="00C946EE">
            <w:pPr>
              <w:rPr>
                <w:rFonts w:ascii="Arial" w:hAnsi="Arial" w:cs="Arial"/>
                <w:b/>
              </w:rPr>
            </w:pPr>
          </w:p>
        </w:tc>
      </w:tr>
    </w:tbl>
    <w:p w14:paraId="300E0339" w14:textId="196D5C43" w:rsidR="00F01FDA" w:rsidRDefault="00F01FDA" w:rsidP="00F01FDA">
      <w:pPr>
        <w:rPr>
          <w:rFonts w:ascii="Arial" w:hAnsi="Arial" w:cs="Arial"/>
          <w:sz w:val="24"/>
          <w:szCs w:val="24"/>
        </w:rPr>
      </w:pPr>
    </w:p>
    <w:p w14:paraId="57B1A1D8" w14:textId="77777777" w:rsidR="007B445E" w:rsidRDefault="007B445E" w:rsidP="00F01FDA">
      <w:pPr>
        <w:rPr>
          <w:rFonts w:asciiTheme="majorHAnsi" w:hAnsiTheme="majorHAnsi" w:cstheme="majorHAnsi"/>
          <w:b/>
          <w:sz w:val="28"/>
          <w:szCs w:val="28"/>
        </w:rPr>
      </w:pPr>
    </w:p>
    <w:p w14:paraId="1379440B" w14:textId="549AD261" w:rsidR="0050525A" w:rsidRPr="007B445E" w:rsidRDefault="0050525A" w:rsidP="00F01FDA">
      <w:pPr>
        <w:rPr>
          <w:rFonts w:asciiTheme="majorHAnsi" w:hAnsiTheme="majorHAnsi" w:cstheme="majorHAnsi"/>
          <w:b/>
          <w:sz w:val="28"/>
          <w:szCs w:val="28"/>
        </w:rPr>
      </w:pPr>
      <w:r w:rsidRPr="007B445E">
        <w:rPr>
          <w:rFonts w:asciiTheme="majorHAnsi" w:hAnsiTheme="majorHAnsi" w:cstheme="majorHAnsi"/>
          <w:b/>
          <w:sz w:val="28"/>
          <w:szCs w:val="28"/>
        </w:rPr>
        <w:t>Local Profile - 2024</w:t>
      </w:r>
    </w:p>
    <w:p w14:paraId="2534F294" w14:textId="025F04FC" w:rsidR="0050525A" w:rsidRDefault="0050525A" w:rsidP="0050525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Males (13 - 17 years) Think families and future out comes for younger children </w:t>
      </w:r>
    </w:p>
    <w:p w14:paraId="124EEA34" w14:textId="5D160DC1" w:rsidR="0050525A" w:rsidRDefault="0050525A" w:rsidP="0050525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Accessing extremist materials on websites and forums and making contact with others on encrypted and gaming platforms</w:t>
      </w:r>
    </w:p>
    <w:p w14:paraId="321A9E93" w14:textId="340BA9CF" w:rsidR="0050525A" w:rsidRDefault="0050525A" w:rsidP="0050525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ASD traits are often present but should not be considered as the only vulnerability </w:t>
      </w:r>
    </w:p>
    <w:p w14:paraId="3E7E4B88" w14:textId="6D77BA33" w:rsidR="0050525A" w:rsidRDefault="0050525A" w:rsidP="0050525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Racist views (comfortable in expressing these openly to peers either online or in person) and other hate theme: religion , sexuality of disability</w:t>
      </w:r>
    </w:p>
    <w:p w14:paraId="252F1996" w14:textId="7E9F0CD0" w:rsidR="0050525A" w:rsidRDefault="0050525A" w:rsidP="0050525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Mental health: anxiety , low mood, depression and </w:t>
      </w:r>
      <w:r w:rsidR="007B445E">
        <w:rPr>
          <w:rFonts w:asciiTheme="majorHAnsi" w:hAnsiTheme="majorHAnsi" w:cstheme="majorHAnsi"/>
          <w:b/>
          <w:sz w:val="24"/>
          <w:szCs w:val="24"/>
        </w:rPr>
        <w:t>self-harm</w:t>
      </w:r>
    </w:p>
    <w:p w14:paraId="578D09D9" w14:textId="536B3AEA" w:rsidR="0050525A" w:rsidRDefault="0050525A" w:rsidP="0050525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Historic and current bullying which have left a negative impression on then about their school: how </w:t>
      </w:r>
      <w:r w:rsidR="007B445E">
        <w:rPr>
          <w:rFonts w:asciiTheme="majorHAnsi" w:hAnsiTheme="majorHAnsi" w:cstheme="majorHAnsi"/>
          <w:b/>
          <w:sz w:val="24"/>
          <w:szCs w:val="24"/>
        </w:rPr>
        <w:t>they</w:t>
      </w:r>
      <w:r>
        <w:rPr>
          <w:rFonts w:asciiTheme="majorHAnsi" w:hAnsiTheme="majorHAnsi" w:cstheme="majorHAnsi"/>
          <w:b/>
          <w:sz w:val="24"/>
          <w:szCs w:val="24"/>
        </w:rPr>
        <w:t xml:space="preserve"> view their peers and as well as staff who dealt with any incidents - creating  a sense of injustice and grievance.</w:t>
      </w:r>
    </w:p>
    <w:p w14:paraId="249E6405" w14:textId="4FC9F406" w:rsidR="00F01FDA" w:rsidRPr="007B445E" w:rsidRDefault="0050525A" w:rsidP="00F01FD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Isolation and a loner with few real friends or peers - creating no sense of belonging</w:t>
      </w:r>
    </w:p>
    <w:p w14:paraId="6B6FE423" w14:textId="77777777" w:rsidR="00F01FDA" w:rsidRPr="00464AB4" w:rsidRDefault="00F01FDA" w:rsidP="00F01FDA">
      <w:pPr>
        <w:rPr>
          <w:rFonts w:ascii="Arial" w:hAnsi="Arial" w:cs="Arial"/>
          <w:color w:val="2F5496" w:themeColor="accent5" w:themeShade="BF"/>
          <w:sz w:val="36"/>
          <w:szCs w:val="36"/>
        </w:rPr>
      </w:pPr>
      <w:r>
        <w:rPr>
          <w:rFonts w:ascii="Arial" w:hAnsi="Arial" w:cs="Arial"/>
          <w:b/>
          <w:color w:val="2F5496" w:themeColor="accent5" w:themeShade="BF"/>
          <w:sz w:val="36"/>
          <w:szCs w:val="36"/>
        </w:rPr>
        <w:lastRenderedPageBreak/>
        <w:t xml:space="preserve">     </w:t>
      </w:r>
      <w:r w:rsidRPr="00B47C6E">
        <w:rPr>
          <w:rFonts w:ascii="Arial" w:hAnsi="Arial" w:cs="Arial"/>
          <w:b/>
          <w:color w:val="2F5496" w:themeColor="accent5" w:themeShade="BF"/>
          <w:sz w:val="36"/>
          <w:szCs w:val="36"/>
        </w:rPr>
        <w:t>Useful Contacts</w:t>
      </w:r>
    </w:p>
    <w:p w14:paraId="3E900821" w14:textId="77777777" w:rsidR="00F01FDA" w:rsidRPr="00A8483E" w:rsidRDefault="00F01FDA" w:rsidP="00F01FDA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694A5BE" w14:textId="5F3428AA" w:rsidR="00F01FDA" w:rsidRPr="00A8483E" w:rsidRDefault="007B445E" w:rsidP="00F01FD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National Police Prevent advice line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0800 011 3764.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14:paraId="6A7A2146" w14:textId="77777777" w:rsidR="00F01FDA" w:rsidRPr="007B445E" w:rsidRDefault="00F01FDA" w:rsidP="007B445E">
      <w:pPr>
        <w:rPr>
          <w:rFonts w:asciiTheme="majorHAnsi" w:hAnsiTheme="majorHAnsi" w:cstheme="majorHAnsi"/>
          <w:sz w:val="28"/>
          <w:szCs w:val="28"/>
        </w:rPr>
      </w:pPr>
    </w:p>
    <w:p w14:paraId="6A5B67BF" w14:textId="77777777" w:rsidR="00F01FDA" w:rsidRPr="00A8483E" w:rsidRDefault="00F01FDA" w:rsidP="00F01FD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A8483E">
        <w:rPr>
          <w:rFonts w:asciiTheme="majorHAnsi" w:hAnsiTheme="majorHAnsi" w:cstheme="majorHAnsi"/>
          <w:sz w:val="28"/>
          <w:szCs w:val="28"/>
        </w:rPr>
        <w:t xml:space="preserve">Dave Law Safer East Sussex Team- Prevent Project Officer  </w:t>
      </w:r>
      <w:hyperlink r:id="rId7" w:history="1">
        <w:r w:rsidRPr="00A8483E">
          <w:rPr>
            <w:rStyle w:val="Hyperlink"/>
            <w:rFonts w:asciiTheme="majorHAnsi" w:hAnsiTheme="majorHAnsi" w:cstheme="majorHAnsi"/>
            <w:sz w:val="28"/>
            <w:szCs w:val="28"/>
          </w:rPr>
          <w:t>david.law@eastsussex.gov.uk</w:t>
        </w:r>
      </w:hyperlink>
      <w:r w:rsidRPr="00A8483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E2C3DAB" w14:textId="77777777" w:rsidR="00F01FDA" w:rsidRPr="00A8483E" w:rsidRDefault="00F01FDA" w:rsidP="00F01FDA">
      <w:pPr>
        <w:rPr>
          <w:rFonts w:asciiTheme="majorHAnsi" w:hAnsiTheme="majorHAnsi" w:cstheme="majorHAnsi"/>
          <w:sz w:val="28"/>
          <w:szCs w:val="28"/>
        </w:rPr>
      </w:pPr>
    </w:p>
    <w:p w14:paraId="2DDB0213" w14:textId="41FE4162" w:rsidR="00F01FDA" w:rsidRPr="007B445E" w:rsidRDefault="00F01FDA" w:rsidP="007B445E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A8483E">
        <w:rPr>
          <w:rFonts w:asciiTheme="majorHAnsi" w:hAnsiTheme="majorHAnsi" w:cstheme="majorHAnsi"/>
          <w:sz w:val="28"/>
          <w:szCs w:val="28"/>
        </w:rPr>
        <w:t xml:space="preserve">Equality and Participation Team Email: </w:t>
      </w:r>
      <w:hyperlink r:id="rId8" w:history="1">
        <w:r w:rsidRPr="00A8483E">
          <w:rPr>
            <w:rStyle w:val="Hyperlink"/>
            <w:rFonts w:asciiTheme="majorHAnsi" w:hAnsiTheme="majorHAnsi" w:cstheme="majorHAnsi"/>
            <w:sz w:val="28"/>
            <w:szCs w:val="28"/>
            <w:lang w:val="en"/>
          </w:rPr>
          <w:t>equalityandparticipation@eastsussex.gov.uk</w:t>
        </w:r>
      </w:hyperlink>
      <w:r w:rsidRPr="00A8483E">
        <w:rPr>
          <w:rFonts w:asciiTheme="majorHAnsi" w:hAnsiTheme="majorHAnsi" w:cstheme="majorHAnsi"/>
          <w:color w:val="0000FF"/>
          <w:sz w:val="28"/>
          <w:szCs w:val="28"/>
          <w:lang w:val="en"/>
        </w:rPr>
        <w:t xml:space="preserve">   </w:t>
      </w:r>
      <w:proofErr w:type="spellStart"/>
      <w:r w:rsidRPr="00A8483E">
        <w:rPr>
          <w:rFonts w:asciiTheme="majorHAnsi" w:hAnsiTheme="majorHAnsi" w:cstheme="majorHAnsi"/>
          <w:sz w:val="28"/>
          <w:szCs w:val="28"/>
        </w:rPr>
        <w:t>Telep</w:t>
      </w:r>
      <w:r w:rsidRPr="00A8483E">
        <w:rPr>
          <w:rFonts w:asciiTheme="majorHAnsi" w:hAnsiTheme="majorHAnsi" w:cstheme="majorHAnsi"/>
          <w:color w:val="000000"/>
          <w:sz w:val="28"/>
          <w:szCs w:val="28"/>
          <w:lang w:val="en"/>
        </w:rPr>
        <w:t>hone</w:t>
      </w:r>
      <w:proofErr w:type="spellEnd"/>
      <w:r w:rsidRPr="00A8483E">
        <w:rPr>
          <w:rFonts w:asciiTheme="majorHAnsi" w:hAnsiTheme="majorHAnsi" w:cstheme="majorHAnsi"/>
          <w:color w:val="000000"/>
          <w:sz w:val="28"/>
          <w:szCs w:val="28"/>
          <w:lang w:val="en"/>
        </w:rPr>
        <w:t>: 01273 335446</w:t>
      </w:r>
    </w:p>
    <w:p w14:paraId="45EB5F41" w14:textId="11A36200" w:rsidR="00F01FDA" w:rsidRPr="00464AB4" w:rsidRDefault="00F01FDA" w:rsidP="00F01FDA">
      <w:pPr>
        <w:spacing w:before="240" w:after="360"/>
        <w:rPr>
          <w:rFonts w:ascii="Arial" w:hAnsi="Arial" w:cs="Arial"/>
          <w:b/>
          <w:color w:val="2F5496" w:themeColor="accent5" w:themeShade="BF"/>
          <w:sz w:val="28"/>
          <w:szCs w:val="28"/>
        </w:rPr>
      </w:pPr>
      <w:r w:rsidRPr="00464AB4">
        <w:rPr>
          <w:rFonts w:ascii="Arial" w:hAnsi="Arial" w:cs="Arial"/>
          <w:b/>
          <w:color w:val="2F5496" w:themeColor="accent5" w:themeShade="BF"/>
          <w:sz w:val="28"/>
          <w:szCs w:val="28"/>
        </w:rPr>
        <w:t xml:space="preserve">Website resources and Links </w:t>
      </w:r>
    </w:p>
    <w:p w14:paraId="71B21DF9" w14:textId="77777777" w:rsidR="00F01FDA" w:rsidRPr="00464AB4" w:rsidRDefault="00F01FDA" w:rsidP="00F01FDA">
      <w:pPr>
        <w:pStyle w:val="ListParagraph"/>
        <w:spacing w:before="240" w:after="360"/>
        <w:rPr>
          <w:rFonts w:ascii="Arial" w:hAnsi="Arial" w:cs="Arial"/>
          <w:sz w:val="28"/>
          <w:szCs w:val="28"/>
        </w:rPr>
      </w:pPr>
    </w:p>
    <w:p w14:paraId="5934BFBC" w14:textId="77777777" w:rsidR="00F01FDA" w:rsidRPr="007B445E" w:rsidRDefault="00F01FDA" w:rsidP="007B445E">
      <w:pPr>
        <w:pStyle w:val="ListParagraph"/>
        <w:numPr>
          <w:ilvl w:val="0"/>
          <w:numId w:val="6"/>
        </w:numPr>
        <w:spacing w:before="240" w:after="360" w:line="276" w:lineRule="auto"/>
        <w:rPr>
          <w:rFonts w:ascii="Arial" w:hAnsi="Arial" w:cs="Arial"/>
          <w:sz w:val="28"/>
          <w:szCs w:val="28"/>
        </w:rPr>
      </w:pPr>
      <w:r w:rsidRPr="007B445E">
        <w:rPr>
          <w:rFonts w:ascii="Arial" w:hAnsi="Arial" w:cs="Arial"/>
          <w:sz w:val="28"/>
          <w:szCs w:val="28"/>
        </w:rPr>
        <w:t xml:space="preserve">Prevent Duty Guidance for England and Wales </w:t>
      </w:r>
      <w:hyperlink r:id="rId9" w:history="1">
        <w:r w:rsidRPr="007B445E">
          <w:rPr>
            <w:rStyle w:val="Hyperlink"/>
            <w:rFonts w:ascii="Arial" w:hAnsi="Arial" w:cs="Arial"/>
            <w:color w:val="auto"/>
            <w:sz w:val="28"/>
            <w:szCs w:val="28"/>
          </w:rPr>
          <w:t>https://www.gov.uk/government/publications/prevent-duty-guidance</w:t>
        </w:r>
      </w:hyperlink>
      <w:r w:rsidRPr="007B445E">
        <w:rPr>
          <w:rFonts w:ascii="Arial" w:hAnsi="Arial" w:cs="Arial"/>
          <w:sz w:val="28"/>
          <w:szCs w:val="28"/>
        </w:rPr>
        <w:t xml:space="preserve">  </w:t>
      </w:r>
    </w:p>
    <w:p w14:paraId="57AC66E3" w14:textId="77777777" w:rsidR="00F01FDA" w:rsidRPr="007B445E" w:rsidRDefault="00F01FDA" w:rsidP="007B445E">
      <w:pPr>
        <w:pStyle w:val="ListParagraph"/>
        <w:spacing w:before="240" w:after="360"/>
        <w:rPr>
          <w:rFonts w:ascii="Arial" w:hAnsi="Arial" w:cs="Arial"/>
          <w:sz w:val="28"/>
          <w:szCs w:val="28"/>
        </w:rPr>
      </w:pPr>
    </w:p>
    <w:p w14:paraId="01FD2738" w14:textId="50CF79BB" w:rsidR="00F01FDA" w:rsidRPr="007B445E" w:rsidRDefault="00F01FDA" w:rsidP="007B445E">
      <w:pPr>
        <w:pStyle w:val="ListParagraph"/>
        <w:numPr>
          <w:ilvl w:val="0"/>
          <w:numId w:val="6"/>
        </w:numPr>
        <w:spacing w:before="240" w:after="360" w:line="276" w:lineRule="auto"/>
        <w:rPr>
          <w:rFonts w:ascii="Arial" w:hAnsi="Arial" w:cs="Arial"/>
          <w:sz w:val="28"/>
          <w:szCs w:val="28"/>
          <w:u w:val="single"/>
        </w:rPr>
      </w:pPr>
      <w:r w:rsidRPr="007B445E">
        <w:rPr>
          <w:rFonts w:ascii="Arial" w:hAnsi="Arial" w:cs="Arial"/>
          <w:sz w:val="28"/>
          <w:szCs w:val="28"/>
        </w:rPr>
        <w:t>Working Together to Safeguard Children</w:t>
      </w:r>
      <w:hyperlink r:id="rId10" w:history="1">
        <w:r w:rsidRPr="007B445E">
          <w:rPr>
            <w:rStyle w:val="Hyperlink"/>
            <w:rFonts w:ascii="Arial" w:hAnsi="Arial" w:cs="Arial"/>
            <w:color w:val="auto"/>
            <w:sz w:val="28"/>
            <w:szCs w:val="28"/>
          </w:rPr>
          <w:t>https://www.gov.uk/government/publications/working-together-to-safeguard-children--2</w:t>
        </w:r>
      </w:hyperlink>
    </w:p>
    <w:p w14:paraId="67D63807" w14:textId="77777777" w:rsidR="00F01FDA" w:rsidRPr="007B445E" w:rsidRDefault="00F01FDA" w:rsidP="007B445E">
      <w:pPr>
        <w:pStyle w:val="ListParagraph"/>
        <w:numPr>
          <w:ilvl w:val="0"/>
          <w:numId w:val="6"/>
        </w:numPr>
        <w:spacing w:before="240" w:after="360" w:line="276" w:lineRule="auto"/>
        <w:rPr>
          <w:rStyle w:val="Hyperlink"/>
          <w:rFonts w:ascii="Arial" w:hAnsi="Arial" w:cs="Arial"/>
          <w:color w:val="auto"/>
          <w:sz w:val="28"/>
          <w:szCs w:val="28"/>
        </w:rPr>
      </w:pPr>
      <w:r w:rsidRPr="007B445E">
        <w:rPr>
          <w:rFonts w:ascii="Arial" w:hAnsi="Arial" w:cs="Arial"/>
          <w:sz w:val="28"/>
          <w:szCs w:val="28"/>
        </w:rPr>
        <w:t xml:space="preserve">UNICEF’s Rights Respecting schools Award </w:t>
      </w:r>
      <w:hyperlink r:id="rId11" w:history="1">
        <w:r w:rsidRPr="007B445E">
          <w:rPr>
            <w:rStyle w:val="Hyperlink"/>
            <w:rFonts w:ascii="Arial" w:hAnsi="Arial" w:cs="Arial"/>
            <w:color w:val="auto"/>
            <w:sz w:val="28"/>
            <w:szCs w:val="28"/>
          </w:rPr>
          <w:t>http://www.unicef.org.uk/rrsa</w:t>
        </w:r>
      </w:hyperlink>
    </w:p>
    <w:p w14:paraId="20305697" w14:textId="77777777" w:rsidR="00F01FDA" w:rsidRPr="007B445E" w:rsidRDefault="00F01FDA" w:rsidP="007B445E">
      <w:pPr>
        <w:pStyle w:val="ListParagraph"/>
        <w:rPr>
          <w:rFonts w:ascii="Arial" w:hAnsi="Arial" w:cs="Arial"/>
          <w:sz w:val="28"/>
          <w:szCs w:val="28"/>
        </w:rPr>
      </w:pPr>
    </w:p>
    <w:p w14:paraId="552BF4CD" w14:textId="77777777" w:rsidR="00F01FDA" w:rsidRPr="007B445E" w:rsidRDefault="00F01FDA" w:rsidP="007B445E">
      <w:pPr>
        <w:pStyle w:val="ListParagraph"/>
        <w:rPr>
          <w:rFonts w:ascii="Arial" w:hAnsi="Arial" w:cs="Arial"/>
          <w:sz w:val="28"/>
          <w:szCs w:val="28"/>
        </w:rPr>
      </w:pPr>
    </w:p>
    <w:p w14:paraId="125B3185" w14:textId="77777777" w:rsidR="002D4737" w:rsidRPr="007B445E" w:rsidRDefault="00F01FDA" w:rsidP="007B445E">
      <w:pPr>
        <w:pStyle w:val="ListParagraph"/>
        <w:numPr>
          <w:ilvl w:val="0"/>
          <w:numId w:val="6"/>
        </w:numPr>
      </w:pPr>
      <w:r w:rsidRPr="007B445E">
        <w:rPr>
          <w:rFonts w:ascii="Arial" w:hAnsi="Arial" w:cs="Arial"/>
          <w:sz w:val="28"/>
          <w:szCs w:val="28"/>
        </w:rPr>
        <w:t xml:space="preserve">East Sussex County Council </w:t>
      </w:r>
      <w:hyperlink r:id="rId12" w:history="1">
        <w:r w:rsidRPr="007B445E">
          <w:rPr>
            <w:rStyle w:val="Hyperlink"/>
            <w:rFonts w:ascii="Arial" w:hAnsi="Arial" w:cs="Arial"/>
            <w:color w:val="auto"/>
            <w:sz w:val="28"/>
            <w:szCs w:val="28"/>
          </w:rPr>
          <w:t>https://czone.eastsussex.gov.uk/supportingchildren/equality/Pages/ThePreventDuty.aspx</w:t>
        </w:r>
      </w:hyperlink>
    </w:p>
    <w:p w14:paraId="4F877503" w14:textId="403ABC04" w:rsidR="00926E11" w:rsidRPr="007B445E" w:rsidRDefault="00926E11" w:rsidP="007B445E">
      <w:pPr>
        <w:ind w:firstLine="45"/>
      </w:pPr>
    </w:p>
    <w:sectPr w:rsidR="00926E11" w:rsidRPr="007B445E" w:rsidSect="00A54CA5">
      <w:footerReference w:type="default" r:id="rId13"/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A4077" w14:textId="77777777" w:rsidR="00A50109" w:rsidRDefault="00A50109" w:rsidP="00BE2BF5">
      <w:pPr>
        <w:spacing w:after="0" w:line="240" w:lineRule="auto"/>
      </w:pPr>
      <w:r>
        <w:separator/>
      </w:r>
    </w:p>
  </w:endnote>
  <w:endnote w:type="continuationSeparator" w:id="0">
    <w:p w14:paraId="1077B03F" w14:textId="77777777" w:rsidR="00A50109" w:rsidRDefault="00A50109" w:rsidP="00BE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2379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C97EE" w14:textId="77777777" w:rsidR="00BE2BF5" w:rsidRDefault="00BE2B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0C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1D64B2" w14:textId="77777777" w:rsidR="00BE2BF5" w:rsidRDefault="00BE2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BA317" w14:textId="77777777" w:rsidR="00A50109" w:rsidRDefault="00A50109" w:rsidP="00BE2BF5">
      <w:pPr>
        <w:spacing w:after="0" w:line="240" w:lineRule="auto"/>
      </w:pPr>
      <w:r>
        <w:separator/>
      </w:r>
    </w:p>
  </w:footnote>
  <w:footnote w:type="continuationSeparator" w:id="0">
    <w:p w14:paraId="29FF0C48" w14:textId="77777777" w:rsidR="00A50109" w:rsidRDefault="00A50109" w:rsidP="00BE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3906"/>
    <w:multiLevelType w:val="hybridMultilevel"/>
    <w:tmpl w:val="AB26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96514"/>
    <w:multiLevelType w:val="hybridMultilevel"/>
    <w:tmpl w:val="1996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C6AEB"/>
    <w:multiLevelType w:val="hybridMultilevel"/>
    <w:tmpl w:val="A43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96B38"/>
    <w:multiLevelType w:val="hybridMultilevel"/>
    <w:tmpl w:val="052C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F5FD8"/>
    <w:multiLevelType w:val="hybridMultilevel"/>
    <w:tmpl w:val="372AA9B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7B497FB3"/>
    <w:multiLevelType w:val="hybridMultilevel"/>
    <w:tmpl w:val="891E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37"/>
    <w:rsid w:val="000069E7"/>
    <w:rsid w:val="0008248C"/>
    <w:rsid w:val="000B6850"/>
    <w:rsid w:val="000E0CA2"/>
    <w:rsid w:val="000F40D7"/>
    <w:rsid w:val="0010289C"/>
    <w:rsid w:val="001072DD"/>
    <w:rsid w:val="00116A90"/>
    <w:rsid w:val="001405F5"/>
    <w:rsid w:val="001F7146"/>
    <w:rsid w:val="00245118"/>
    <w:rsid w:val="002D4737"/>
    <w:rsid w:val="002E4EBB"/>
    <w:rsid w:val="00381B73"/>
    <w:rsid w:val="00395228"/>
    <w:rsid w:val="00397321"/>
    <w:rsid w:val="003B54C0"/>
    <w:rsid w:val="003C4C24"/>
    <w:rsid w:val="004026F7"/>
    <w:rsid w:val="0041045C"/>
    <w:rsid w:val="004639AD"/>
    <w:rsid w:val="00476682"/>
    <w:rsid w:val="004B35BB"/>
    <w:rsid w:val="0050525A"/>
    <w:rsid w:val="00531314"/>
    <w:rsid w:val="005967AB"/>
    <w:rsid w:val="005D152F"/>
    <w:rsid w:val="005E6A7C"/>
    <w:rsid w:val="006138AA"/>
    <w:rsid w:val="006B76A7"/>
    <w:rsid w:val="006F6C1A"/>
    <w:rsid w:val="007004E7"/>
    <w:rsid w:val="007060ED"/>
    <w:rsid w:val="00731697"/>
    <w:rsid w:val="007B445E"/>
    <w:rsid w:val="007B653D"/>
    <w:rsid w:val="007F389C"/>
    <w:rsid w:val="00814530"/>
    <w:rsid w:val="00871537"/>
    <w:rsid w:val="00881E1E"/>
    <w:rsid w:val="00900639"/>
    <w:rsid w:val="00926E11"/>
    <w:rsid w:val="009A47EA"/>
    <w:rsid w:val="009A6A6F"/>
    <w:rsid w:val="009E0BCE"/>
    <w:rsid w:val="00A1333B"/>
    <w:rsid w:val="00A14280"/>
    <w:rsid w:val="00A350C3"/>
    <w:rsid w:val="00A50109"/>
    <w:rsid w:val="00A54CA5"/>
    <w:rsid w:val="00AA4D81"/>
    <w:rsid w:val="00AC53EC"/>
    <w:rsid w:val="00AC7E86"/>
    <w:rsid w:val="00B153E8"/>
    <w:rsid w:val="00BA5BF2"/>
    <w:rsid w:val="00BB46F7"/>
    <w:rsid w:val="00BE2BF5"/>
    <w:rsid w:val="00C04A88"/>
    <w:rsid w:val="00C31C70"/>
    <w:rsid w:val="00C345DE"/>
    <w:rsid w:val="00C72DF4"/>
    <w:rsid w:val="00D32E4C"/>
    <w:rsid w:val="00D64F42"/>
    <w:rsid w:val="00D76A59"/>
    <w:rsid w:val="00DD193A"/>
    <w:rsid w:val="00E25E38"/>
    <w:rsid w:val="00EB7670"/>
    <w:rsid w:val="00EC27A6"/>
    <w:rsid w:val="00F01FDA"/>
    <w:rsid w:val="00F6713A"/>
    <w:rsid w:val="00F9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AA22"/>
  <w15:docId w15:val="{5F9300DB-E4D2-48B5-AF27-01A79C12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E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4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01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BF5"/>
  </w:style>
  <w:style w:type="paragraph" w:styleId="Footer">
    <w:name w:val="footer"/>
    <w:basedOn w:val="Normal"/>
    <w:link w:val="FooterChar"/>
    <w:uiPriority w:val="99"/>
    <w:unhideWhenUsed/>
    <w:rsid w:val="00BE2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BF5"/>
  </w:style>
  <w:style w:type="character" w:styleId="FollowedHyperlink">
    <w:name w:val="FollowedHyperlink"/>
    <w:basedOn w:val="DefaultParagraphFont"/>
    <w:uiPriority w:val="99"/>
    <w:semiHidden/>
    <w:unhideWhenUsed/>
    <w:rsid w:val="003C4C24"/>
    <w:rPr>
      <w:color w:val="954F72" w:themeColor="followedHyperlink"/>
      <w:u w:val="single"/>
    </w:rPr>
  </w:style>
  <w:style w:type="character" w:customStyle="1" w:styleId="uv3um">
    <w:name w:val="uv3um"/>
    <w:basedOn w:val="DefaultParagraphFont"/>
    <w:rsid w:val="007B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ityandparticipation@eastsussex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.law@eastsussex.gov.uk" TargetMode="External"/><Relationship Id="rId12" Type="http://schemas.openxmlformats.org/officeDocument/2006/relationships/hyperlink" Target="https://czone.eastsussex.gov.uk/supportingchildren/equality/Pages/ThePreventDut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cef.org.uk/rrs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working-together-to-safeguard-children-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revent-duty-guid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Catrin Jones</dc:creator>
  <cp:lastModifiedBy>Helen Smith</cp:lastModifiedBy>
  <cp:revision>2</cp:revision>
  <cp:lastPrinted>2016-09-05T21:03:00Z</cp:lastPrinted>
  <dcterms:created xsi:type="dcterms:W3CDTF">2024-12-05T10:54:00Z</dcterms:created>
  <dcterms:modified xsi:type="dcterms:W3CDTF">2024-12-05T10:54:00Z</dcterms:modified>
</cp:coreProperties>
</file>